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76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  <w:t>各报名点所在地人事考试机构咨询电话</w:t>
      </w:r>
    </w:p>
    <w:p>
      <w:pPr>
        <w:pStyle w:val="2"/>
        <w:rPr>
          <w:rFonts w:hint="default"/>
        </w:rPr>
      </w:pPr>
    </w:p>
    <w:tbl>
      <w:tblPr>
        <w:tblStyle w:val="5"/>
        <w:tblW w:w="10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896"/>
        <w:gridCol w:w="437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报名点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地址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成都市青羊区清江东路118号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自贡市自流井区交通路39号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泸州市龙马大道一段70号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德阳市岷江东路126号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广元市利州东路一段681号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遂宁市船山区遂州中路682号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内江市中区翔龙山报社路157号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0832-8119807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乐山市市中区团山街555号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南充市玉带中路二段111号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达州市达川区绥定大道一段60号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巴中市江北滨河路中段88号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广安市广安区步云街29号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宜宾市翠屏区大碑巷37号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雅安市雨城区先锋路30号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阿坝州马尔康市马尔康镇南木达街1号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甘孜州康定市木雅路一段308号1004室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凉山州西昌市正义路121号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眉山市东坡区学士街268号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资阳市雁江区广场路1号资阳市政府2号楼2楼0201办公室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pPr>
        <w:widowControl/>
        <w:spacing w:line="340" w:lineRule="exact"/>
        <w:ind w:firstLine="0" w:firstLineChars="0"/>
        <w:jc w:val="left"/>
        <w:textAlignment w:val="center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340" w:lineRule="exact"/>
        <w:ind w:firstLine="0" w:firstLineChars="0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bidi="ar"/>
        </w:rPr>
        <w:t>注：请在工作时间咨询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NjlhOTJjMGJjNGRkM2ZiNDQyOWE5ZmIxMjg5NzEifQ=="/>
  </w:docVars>
  <w:rsids>
    <w:rsidRoot w:val="3D362A41"/>
    <w:rsid w:val="3D3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spacing w:line="240" w:lineRule="auto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2022-08-17T03:37:00Z</dcterms:created>
  <dc:creator>FL</dc:creator>
  <cp:lastModifiedBy>FL</cp:lastModifiedBy>
  <dcterms:modified xsi:type="dcterms:W3CDTF">2022-08-17T03:38:45Z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7B0B538F98E94EA4A2C4312792BA4F95</vt:lpwstr>
  </property>
</Properties>
</file>