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60" w:lineRule="exact"/>
        <w:ind w:left="0" w:leftChars="0" w:right="0" w:rightChars="0"/>
        <w:jc w:val="both"/>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附件</w:t>
      </w:r>
      <w:r>
        <w:rPr>
          <w:rFonts w:hint="eastAsia" w:ascii="Times New Roman" w:hAnsi="Times New Roman" w:eastAsia="黑体" w:cs="黑体"/>
          <w:b w:val="0"/>
          <w:bCs/>
          <w:color w:val="auto"/>
          <w:sz w:val="32"/>
          <w:szCs w:val="32"/>
          <w:lang w:val="en-US" w:eastAsia="zh-CN"/>
        </w:rPr>
        <w:t>2</w:t>
      </w:r>
    </w:p>
    <w:p>
      <w:pPr>
        <w:keepNext w:val="0"/>
        <w:keepLines w:val="0"/>
        <w:pageBreakBefore w:val="0"/>
        <w:kinsoku/>
        <w:wordWrap/>
        <w:overflowPunct/>
        <w:topLinePunct w:val="0"/>
        <w:bidi w:val="0"/>
        <w:snapToGrid/>
        <w:spacing w:line="560" w:lineRule="exact"/>
        <w:ind w:left="0" w:leftChars="0" w:right="0" w:rightChars="0"/>
        <w:jc w:val="center"/>
        <w:textAlignment w:val="auto"/>
        <w:rPr>
          <w:rFonts w:hint="eastAsia" w:ascii="方正小标宋简体" w:hAnsi="方正小标宋简体" w:eastAsia="方正小标宋简体" w:cs="方正小标宋简体"/>
          <w:b w:val="0"/>
          <w:bCs/>
          <w:color w:val="auto"/>
          <w:sz w:val="44"/>
          <w:szCs w:val="44"/>
          <w:lang w:val="en-US" w:eastAsia="zh-CN"/>
        </w:rPr>
      </w:pPr>
    </w:p>
    <w:p>
      <w:pPr>
        <w:keepNext w:val="0"/>
        <w:keepLines w:val="0"/>
        <w:pageBreakBefore w:val="0"/>
        <w:kinsoku/>
        <w:wordWrap/>
        <w:overflowPunct/>
        <w:topLinePunct w:val="0"/>
        <w:bidi w:val="0"/>
        <w:snapToGrid/>
        <w:spacing w:line="560" w:lineRule="exact"/>
        <w:ind w:left="0" w:leftChars="0" w:right="0" w:rightChars="0"/>
        <w:jc w:val="center"/>
        <w:textAlignment w:val="auto"/>
        <w:rPr>
          <w:rFonts w:hint="eastAsia" w:ascii="方正小标宋简体" w:hAnsi="方正小标宋简体" w:eastAsia="方正小标宋简体" w:cs="方正小标宋简体"/>
          <w:color w:val="auto"/>
          <w:sz w:val="44"/>
          <w:szCs w:val="52"/>
          <w:highlight w:val="none"/>
        </w:rPr>
      </w:pPr>
      <w:r>
        <w:rPr>
          <w:rFonts w:hint="eastAsia" w:ascii="Times New Roman" w:hAnsi="Times New Roman" w:eastAsia="方正小标宋简体" w:cs="方正小标宋简体"/>
          <w:b w:val="0"/>
          <w:bCs/>
          <w:color w:val="auto"/>
          <w:sz w:val="44"/>
          <w:szCs w:val="44"/>
          <w:lang w:val="en-US" w:eastAsia="zh-CN"/>
        </w:rPr>
        <w:t>2022</w:t>
      </w:r>
      <w:r>
        <w:rPr>
          <w:rFonts w:hint="eastAsia" w:ascii="方正小标宋简体" w:hAnsi="方正小标宋简体" w:eastAsia="方正小标宋简体" w:cs="方正小标宋简体"/>
          <w:b w:val="0"/>
          <w:bCs/>
          <w:color w:val="auto"/>
          <w:sz w:val="44"/>
          <w:szCs w:val="44"/>
          <w:lang w:val="en-US" w:eastAsia="zh-CN"/>
        </w:rPr>
        <w:t>年贵州省人事考试</w:t>
      </w:r>
      <w:r>
        <w:rPr>
          <w:rFonts w:hint="eastAsia" w:ascii="方正小标宋简体" w:hAnsi="方正小标宋简体" w:eastAsia="方正小标宋简体" w:cs="方正小标宋简体"/>
          <w:color w:val="auto"/>
          <w:sz w:val="44"/>
          <w:szCs w:val="52"/>
          <w:highlight w:val="none"/>
        </w:rPr>
        <w:t>新冠肺炎</w:t>
      </w:r>
    </w:p>
    <w:p>
      <w:pPr>
        <w:keepNext w:val="0"/>
        <w:keepLines w:val="0"/>
        <w:pageBreakBefore w:val="0"/>
        <w:kinsoku/>
        <w:wordWrap/>
        <w:overflowPunct/>
        <w:topLinePunct w:val="0"/>
        <w:bidi w:val="0"/>
        <w:snapToGrid/>
        <w:spacing w:line="560" w:lineRule="exact"/>
        <w:ind w:left="0" w:leftChars="0" w:right="0" w:rightChars="0"/>
        <w:jc w:val="center"/>
        <w:textAlignment w:val="auto"/>
        <w:rPr>
          <w:rFonts w:hint="eastAsia" w:ascii="方正小标宋简体" w:hAnsi="方正小标宋简体" w:eastAsia="方正小标宋简体" w:cs="方正小标宋简体"/>
          <w:color w:val="auto"/>
          <w:sz w:val="44"/>
          <w:szCs w:val="52"/>
          <w:highlight w:val="none"/>
        </w:rPr>
      </w:pPr>
      <w:r>
        <w:rPr>
          <w:rFonts w:hint="eastAsia" w:ascii="方正小标宋简体" w:hAnsi="方正小标宋简体" w:eastAsia="方正小标宋简体" w:cs="方正小标宋简体"/>
          <w:color w:val="auto"/>
          <w:sz w:val="44"/>
          <w:szCs w:val="52"/>
          <w:highlight w:val="none"/>
        </w:rPr>
        <w:t>疫情防控告知暨承诺书</w:t>
      </w:r>
    </w:p>
    <w:p>
      <w:pPr>
        <w:keepNext w:val="0"/>
        <w:keepLines w:val="0"/>
        <w:pageBreakBefore w:val="0"/>
        <w:kinsoku/>
        <w:wordWrap/>
        <w:overflowPunct/>
        <w:topLinePunct w:val="0"/>
        <w:bidi w:val="0"/>
        <w:snapToGrid/>
        <w:spacing w:line="560" w:lineRule="exact"/>
        <w:ind w:left="0" w:leftChars="0" w:right="0" w:rightChars="0" w:firstLine="640" w:firstLineChars="200"/>
        <w:textAlignment w:val="auto"/>
        <w:rPr>
          <w:rFonts w:ascii="仿宋" w:hAnsi="仿宋" w:eastAsia="仿宋" w:cs="仿宋"/>
          <w:color w:val="auto"/>
          <w:sz w:val="32"/>
          <w:szCs w:val="40"/>
          <w:highlight w:val="none"/>
        </w:rPr>
      </w:pPr>
    </w:p>
    <w:p>
      <w:pPr>
        <w:keepNext w:val="0"/>
        <w:keepLines w:val="0"/>
        <w:pageBreakBefore w:val="0"/>
        <w:kinsoku/>
        <w:wordWrap/>
        <w:overflowPunct/>
        <w:topLinePunct w:val="0"/>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auto"/>
          <w:sz w:val="32"/>
          <w:szCs w:val="40"/>
          <w:highlight w:val="none"/>
          <w:u w:val="none"/>
        </w:rPr>
      </w:pPr>
      <w:r>
        <w:rPr>
          <w:rFonts w:hint="eastAsia" w:ascii="仿宋" w:hAnsi="仿宋" w:eastAsia="仿宋" w:cs="仿宋"/>
          <w:color w:val="auto"/>
          <w:sz w:val="32"/>
          <w:szCs w:val="40"/>
          <w:highlight w:val="none"/>
          <w:u w:val="none"/>
          <w:lang w:eastAsia="zh-CN"/>
        </w:rPr>
        <w:t>考生须</w:t>
      </w:r>
      <w:r>
        <w:rPr>
          <w:rFonts w:hint="eastAsia" w:ascii="仿宋" w:hAnsi="仿宋" w:eastAsia="仿宋" w:cs="仿宋"/>
          <w:color w:val="auto"/>
          <w:sz w:val="32"/>
          <w:szCs w:val="40"/>
          <w:highlight w:val="none"/>
          <w:u w:val="none"/>
          <w:lang w:val="en-US" w:eastAsia="zh-CN"/>
        </w:rPr>
        <w:t>认真阅读</w:t>
      </w:r>
      <w:r>
        <w:rPr>
          <w:rFonts w:hint="eastAsia" w:ascii="仿宋" w:hAnsi="仿宋" w:eastAsia="仿宋" w:cs="仿宋"/>
          <w:color w:val="auto"/>
          <w:sz w:val="32"/>
          <w:szCs w:val="32"/>
          <w:highlight w:val="none"/>
          <w:u w:val="none"/>
        </w:rPr>
        <w:t>《</w:t>
      </w:r>
      <w:r>
        <w:rPr>
          <w:rFonts w:hint="eastAsia" w:ascii="Times New Roman" w:hAnsi="Times New Roman" w:eastAsia="仿宋" w:cs="仿宋"/>
          <w:b w:val="0"/>
          <w:bCs/>
          <w:color w:val="auto"/>
          <w:sz w:val="32"/>
          <w:szCs w:val="32"/>
          <w:u w:val="none"/>
          <w:lang w:val="en-US" w:eastAsia="zh-CN"/>
        </w:rPr>
        <w:t>2022</w:t>
      </w:r>
      <w:r>
        <w:rPr>
          <w:rFonts w:hint="eastAsia" w:ascii="仿宋" w:hAnsi="仿宋" w:eastAsia="仿宋" w:cs="仿宋"/>
          <w:b w:val="0"/>
          <w:bCs/>
          <w:color w:val="auto"/>
          <w:sz w:val="32"/>
          <w:szCs w:val="32"/>
          <w:u w:val="none"/>
          <w:lang w:val="en-US" w:eastAsia="zh-CN"/>
        </w:rPr>
        <w:t>年贵州省人事考试新冠肺炎疫情防控告知暨承诺书</w:t>
      </w:r>
      <w:r>
        <w:rPr>
          <w:rFonts w:hint="eastAsia" w:ascii="仿宋" w:hAnsi="仿宋" w:eastAsia="仿宋" w:cs="仿宋"/>
          <w:color w:val="auto"/>
          <w:sz w:val="32"/>
          <w:szCs w:val="40"/>
          <w:highlight w:val="none"/>
          <w:u w:val="none"/>
        </w:rPr>
        <w:t>》，承诺已知悉告知事项和防疫要求，自愿承担因不实承诺应承担的相关责任、接受相应处理。考试全</w:t>
      </w:r>
      <w:r>
        <w:rPr>
          <w:rFonts w:hint="eastAsia" w:ascii="仿宋" w:hAnsi="仿宋" w:eastAsia="仿宋" w:cs="仿宋"/>
          <w:color w:val="auto"/>
          <w:sz w:val="32"/>
          <w:szCs w:val="40"/>
          <w:highlight w:val="none"/>
          <w:u w:val="none"/>
          <w:lang w:val="en-US" w:eastAsia="zh-CN"/>
        </w:rPr>
        <w:t>过程</w:t>
      </w:r>
      <w:r>
        <w:rPr>
          <w:rFonts w:hint="eastAsia" w:ascii="仿宋" w:hAnsi="仿宋" w:eastAsia="仿宋" w:cs="仿宋"/>
          <w:color w:val="auto"/>
          <w:sz w:val="32"/>
          <w:szCs w:val="40"/>
          <w:highlight w:val="none"/>
          <w:u w:val="none"/>
        </w:rPr>
        <w:t>，</w:t>
      </w:r>
      <w:r>
        <w:rPr>
          <w:rFonts w:hint="eastAsia" w:ascii="仿宋" w:hAnsi="仿宋" w:eastAsia="仿宋" w:cs="仿宋"/>
          <w:color w:val="auto"/>
          <w:sz w:val="32"/>
          <w:szCs w:val="40"/>
          <w:highlight w:val="none"/>
          <w:u w:val="none"/>
          <w:lang w:eastAsia="zh-CN"/>
        </w:rPr>
        <w:t>考生</w:t>
      </w:r>
      <w:r>
        <w:rPr>
          <w:rFonts w:hint="eastAsia" w:ascii="仿宋" w:hAnsi="仿宋" w:eastAsia="仿宋" w:cs="仿宋"/>
          <w:color w:val="auto"/>
          <w:sz w:val="32"/>
          <w:szCs w:val="40"/>
          <w:highlight w:val="none"/>
          <w:u w:val="none"/>
        </w:rPr>
        <w:t>应自觉接受工作人员检查，如实报告个人情况，主动出示疫情防控</w:t>
      </w:r>
      <w:r>
        <w:rPr>
          <w:rFonts w:hint="eastAsia" w:ascii="仿宋" w:hAnsi="仿宋" w:eastAsia="仿宋" w:cs="仿宋"/>
          <w:color w:val="auto"/>
          <w:sz w:val="32"/>
          <w:szCs w:val="40"/>
          <w:highlight w:val="none"/>
          <w:u w:val="none"/>
          <w:lang w:val="en-US" w:eastAsia="zh-CN"/>
        </w:rPr>
        <w:t>检查所需的健康码绿码及其它相应材料</w:t>
      </w:r>
      <w:r>
        <w:rPr>
          <w:rFonts w:hint="eastAsia" w:ascii="仿宋" w:hAnsi="仿宋" w:eastAsia="仿宋" w:cs="仿宋"/>
          <w:color w:val="auto"/>
          <w:sz w:val="32"/>
          <w:szCs w:val="40"/>
          <w:highlight w:val="none"/>
          <w:u w:val="none"/>
        </w:rPr>
        <w:t>。凡隐瞒或谎报旅居史、接触史、健康状况等疫情防控重点信息，不配合工作人员进行防疫检测、询问、排查、送诊等造成的</w:t>
      </w:r>
      <w:r>
        <w:rPr>
          <w:rFonts w:hint="eastAsia" w:ascii="仿宋" w:hAnsi="仿宋" w:eastAsia="仿宋" w:cs="仿宋"/>
          <w:color w:val="auto"/>
          <w:sz w:val="32"/>
          <w:szCs w:val="40"/>
          <w:highlight w:val="none"/>
          <w:u w:val="none"/>
          <w:lang w:val="en-US" w:eastAsia="zh-CN"/>
        </w:rPr>
        <w:t>一切</w:t>
      </w:r>
      <w:r>
        <w:rPr>
          <w:rFonts w:hint="eastAsia" w:ascii="仿宋" w:hAnsi="仿宋" w:eastAsia="仿宋" w:cs="仿宋"/>
          <w:color w:val="auto"/>
          <w:sz w:val="32"/>
          <w:szCs w:val="40"/>
          <w:highlight w:val="none"/>
          <w:u w:val="none"/>
        </w:rPr>
        <w:t>后果由</w:t>
      </w:r>
      <w:r>
        <w:rPr>
          <w:rFonts w:hint="eastAsia" w:ascii="仿宋" w:hAnsi="仿宋" w:eastAsia="仿宋" w:cs="仿宋"/>
          <w:color w:val="auto"/>
          <w:sz w:val="32"/>
          <w:szCs w:val="40"/>
          <w:highlight w:val="none"/>
          <w:u w:val="none"/>
          <w:lang w:eastAsia="zh-CN"/>
        </w:rPr>
        <w:t>考生</w:t>
      </w:r>
      <w:r>
        <w:rPr>
          <w:rFonts w:hint="eastAsia" w:ascii="仿宋" w:hAnsi="仿宋" w:eastAsia="仿宋" w:cs="仿宋"/>
          <w:color w:val="auto"/>
          <w:sz w:val="32"/>
          <w:szCs w:val="40"/>
          <w:highlight w:val="none"/>
          <w:u w:val="none"/>
          <w:lang w:val="en-US" w:eastAsia="zh-CN"/>
        </w:rPr>
        <w:t>自行负责</w:t>
      </w:r>
      <w:r>
        <w:rPr>
          <w:rFonts w:hint="eastAsia" w:ascii="仿宋" w:hAnsi="仿宋" w:eastAsia="仿宋" w:cs="仿宋"/>
          <w:color w:val="auto"/>
          <w:sz w:val="32"/>
          <w:szCs w:val="40"/>
          <w:highlight w:val="none"/>
          <w:u w:val="none"/>
        </w:rPr>
        <w:t>，同时取消其相应考试资格，并按相</w:t>
      </w:r>
      <w:r>
        <w:rPr>
          <w:rFonts w:hint="eastAsia" w:ascii="仿宋" w:hAnsi="仿宋" w:eastAsia="仿宋" w:cs="仿宋"/>
          <w:color w:val="auto"/>
          <w:sz w:val="32"/>
          <w:szCs w:val="40"/>
          <w:highlight w:val="none"/>
          <w:u w:val="none"/>
          <w:lang w:val="en-US" w:eastAsia="zh-CN"/>
        </w:rPr>
        <w:t>应</w:t>
      </w:r>
      <w:r>
        <w:rPr>
          <w:rFonts w:hint="eastAsia" w:ascii="仿宋" w:hAnsi="仿宋" w:eastAsia="仿宋" w:cs="仿宋"/>
          <w:color w:val="auto"/>
          <w:sz w:val="32"/>
          <w:szCs w:val="40"/>
          <w:highlight w:val="none"/>
          <w:u w:val="none"/>
        </w:rPr>
        <w:t>违纪违规</w:t>
      </w:r>
      <w:r>
        <w:rPr>
          <w:rFonts w:hint="eastAsia" w:ascii="仿宋" w:hAnsi="仿宋" w:eastAsia="仿宋" w:cs="仿宋"/>
          <w:color w:val="auto"/>
          <w:sz w:val="32"/>
          <w:szCs w:val="40"/>
          <w:highlight w:val="none"/>
          <w:u w:val="none"/>
          <w:lang w:val="en-US" w:eastAsia="zh-CN"/>
        </w:rPr>
        <w:t>行为</w:t>
      </w:r>
      <w:r>
        <w:rPr>
          <w:rFonts w:hint="eastAsia" w:ascii="仿宋" w:hAnsi="仿宋" w:eastAsia="仿宋" w:cs="仿宋"/>
          <w:color w:val="auto"/>
          <w:sz w:val="32"/>
          <w:szCs w:val="40"/>
          <w:highlight w:val="none"/>
          <w:u w:val="none"/>
        </w:rPr>
        <w:t>处理规定处理。如有违法情况的，将依法追究其法律责任。</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黑体" w:hAnsi="黑体" w:eastAsia="黑体" w:cs="黑体"/>
          <w:b w:val="0"/>
          <w:color w:val="auto"/>
          <w:kern w:val="0"/>
          <w:sz w:val="32"/>
          <w:szCs w:val="32"/>
          <w:highlight w:val="none"/>
          <w:u w:val="none"/>
          <w:lang w:val="en-US" w:eastAsia="zh-CN" w:bidi="ar"/>
        </w:rPr>
      </w:pPr>
      <w:r>
        <w:rPr>
          <w:rFonts w:hint="eastAsia" w:ascii="黑体" w:hAnsi="黑体" w:eastAsia="黑体" w:cs="黑体"/>
          <w:b w:val="0"/>
          <w:color w:val="auto"/>
          <w:kern w:val="0"/>
          <w:sz w:val="32"/>
          <w:szCs w:val="32"/>
          <w:highlight w:val="none"/>
          <w:u w:val="none"/>
          <w:lang w:val="en-US" w:eastAsia="zh-CN" w:bidi="ar"/>
        </w:rPr>
        <w:t>一、疫情防控重要提示</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仿宋" w:hAnsi="仿宋" w:eastAsia="仿宋" w:cs="仿宋"/>
          <w:b w:val="0"/>
          <w:color w:val="auto"/>
          <w:kern w:val="0"/>
          <w:sz w:val="32"/>
          <w:szCs w:val="32"/>
          <w:highlight w:val="none"/>
          <w:u w:val="none"/>
          <w:lang w:val="en-US" w:eastAsia="zh-CN" w:bidi="ar"/>
        </w:rPr>
      </w:pPr>
      <w:r>
        <w:rPr>
          <w:rFonts w:hint="eastAsia" w:ascii="仿宋" w:hAnsi="仿宋" w:eastAsia="仿宋" w:cs="仿宋"/>
          <w:b w:val="0"/>
          <w:color w:val="auto"/>
          <w:kern w:val="0"/>
          <w:sz w:val="32"/>
          <w:szCs w:val="32"/>
          <w:highlight w:val="none"/>
          <w:u w:val="none"/>
          <w:lang w:val="en-US" w:eastAsia="zh-CN" w:bidi="ar"/>
        </w:rPr>
        <w:t>根据贵州省最新疫情防控规定，对本次考试考生的防疫要求如下：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（一）不符合国家、省有关疫情防控要求，不遵守有关疫情防控规定的人员不得进入考点参加考试。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（四）处于集中隔离、居家健康监测期间的人员不得进入考点参加考试。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（五）对流动、出行须报备并提供相应证明材料的人员，未按要求报备或未按要求提供相应证明材料的不得进入考点参加考试。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（七）考前</w:t>
      </w:r>
      <w:r>
        <w:rPr>
          <w:rFonts w:hint="eastAsia" w:ascii="Times New Roman" w:hAnsi="Times New Roman" w:eastAsia="仿宋_GB2312" w:cs="仿宋_GB2312"/>
          <w:sz w:val="32"/>
          <w:szCs w:val="32"/>
        </w:rPr>
        <w:t>14</w:t>
      </w:r>
      <w:r>
        <w:rPr>
          <w:rFonts w:hint="eastAsia" w:ascii="仿宋_GB2312" w:hAnsi="仿宋_GB2312" w:eastAsia="仿宋_GB2312" w:cs="仿宋_GB2312"/>
          <w:sz w:val="32"/>
          <w:szCs w:val="32"/>
        </w:rPr>
        <w:t>天内有中高风险地区旅居史的考生，不得进入考点参加考试。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（八）考前</w:t>
      </w:r>
      <w:r>
        <w:rPr>
          <w:rFonts w:hint="eastAsia" w:ascii="Times New Roman" w:hAnsi="Times New Roman" w:eastAsia="仿宋_GB2312" w:cs="仿宋_GB2312"/>
          <w:sz w:val="32"/>
          <w:szCs w:val="32"/>
        </w:rPr>
        <w:t>14</w:t>
      </w:r>
      <w:r>
        <w:rPr>
          <w:rFonts w:hint="eastAsia" w:ascii="仿宋_GB2312" w:hAnsi="仿宋_GB2312" w:eastAsia="仿宋_GB2312" w:cs="仿宋_GB2312"/>
          <w:sz w:val="32"/>
          <w:szCs w:val="32"/>
        </w:rPr>
        <w:t>天内与本土阳性病例（尚未划定风险等级）活动轨迹有交集人员，不得进入考点参加考试。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（九）行程码带星号的考生，不得进入考点参加考试。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（十）考前</w:t>
      </w:r>
      <w:r>
        <w:rPr>
          <w:rFonts w:hint="eastAsia" w:ascii="Times New Roman" w:hAnsi="Times New Roman" w:eastAsia="仿宋_GB2312" w:cs="仿宋_GB2312"/>
          <w:sz w:val="32"/>
          <w:szCs w:val="32"/>
        </w:rPr>
        <w:t>14</w:t>
      </w:r>
      <w:r>
        <w:rPr>
          <w:rFonts w:hint="eastAsia" w:ascii="仿宋_GB2312" w:hAnsi="仿宋_GB2312" w:eastAsia="仿宋_GB2312" w:cs="仿宋_GB2312"/>
          <w:sz w:val="32"/>
          <w:szCs w:val="32"/>
        </w:rPr>
        <w:t>天内有省外低风险地区或有“本土阳性病例报告地级市（直辖市为区）”旅居史人员，须提供抵黔后</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日内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须在第</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天共开展</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次核酸检测，其中前</w:t>
      </w: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次采样需间隔</w:t>
      </w:r>
      <w:r>
        <w:rPr>
          <w:rFonts w:hint="eastAsia" w:ascii="Times New Roman" w:hAnsi="Times New Roman" w:eastAsia="仿宋_GB2312" w:cs="仿宋_GB2312"/>
          <w:sz w:val="32"/>
          <w:szCs w:val="32"/>
        </w:rPr>
        <w:t>24</w:t>
      </w:r>
      <w:r>
        <w:rPr>
          <w:rFonts w:hint="eastAsia" w:ascii="仿宋_GB2312" w:hAnsi="仿宋_GB2312" w:eastAsia="仿宋_GB2312" w:cs="仿宋_GB2312"/>
          <w:sz w:val="32"/>
          <w:szCs w:val="32"/>
        </w:rPr>
        <w:t>小时以上。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次核酸检测阴性证明和考前</w:t>
      </w:r>
      <w:r>
        <w:rPr>
          <w:rFonts w:hint="eastAsia" w:ascii="Times New Roman" w:hAnsi="Times New Roman" w:eastAsia="仿宋_GB2312" w:cs="仿宋_GB2312"/>
          <w:sz w:val="32"/>
          <w:szCs w:val="32"/>
        </w:rPr>
        <w:t>48</w:t>
      </w:r>
      <w:r>
        <w:rPr>
          <w:rFonts w:hint="eastAsia" w:ascii="仿宋_GB2312" w:hAnsi="仿宋_GB2312" w:eastAsia="仿宋_GB2312" w:cs="仿宋_GB2312"/>
          <w:sz w:val="32"/>
          <w:szCs w:val="32"/>
        </w:rPr>
        <w:t>小时内的</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次核酸检测阴性证明，方可进入考点参加考试（抵黔后</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日内的</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次核酸检测均须在贵州省内进行，其中第</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次检测采样在考前</w:t>
      </w:r>
      <w:r>
        <w:rPr>
          <w:rFonts w:hint="eastAsia" w:ascii="Times New Roman" w:hAnsi="Times New Roman" w:eastAsia="仿宋_GB2312" w:cs="仿宋_GB2312"/>
          <w:sz w:val="32"/>
          <w:szCs w:val="32"/>
        </w:rPr>
        <w:t>48</w:t>
      </w:r>
      <w:r>
        <w:rPr>
          <w:rFonts w:hint="eastAsia" w:ascii="仿宋_GB2312" w:hAnsi="仿宋_GB2312" w:eastAsia="仿宋_GB2312" w:cs="仿宋_GB2312"/>
          <w:sz w:val="32"/>
          <w:szCs w:val="32"/>
        </w:rPr>
        <w:t>小时内的，无需再提供考前</w:t>
      </w:r>
      <w:r>
        <w:rPr>
          <w:rFonts w:hint="eastAsia" w:ascii="Times New Roman" w:hAnsi="Times New Roman" w:eastAsia="仿宋_GB2312" w:cs="仿宋_GB2312"/>
          <w:sz w:val="32"/>
          <w:szCs w:val="32"/>
        </w:rPr>
        <w:t>48</w:t>
      </w:r>
      <w:r>
        <w:rPr>
          <w:rFonts w:hint="eastAsia" w:ascii="仿宋_GB2312" w:hAnsi="仿宋_GB2312" w:eastAsia="仿宋_GB2312" w:cs="仿宋_GB2312"/>
          <w:sz w:val="32"/>
          <w:szCs w:val="32"/>
        </w:rPr>
        <w:t>小时内的</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次核酸检测阴性证明）。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其余所有考生均须提供考前</w:t>
      </w:r>
      <w:r>
        <w:rPr>
          <w:rFonts w:hint="eastAsia" w:ascii="Times New Roman" w:hAnsi="Times New Roman" w:eastAsia="仿宋_GB2312" w:cs="仿宋_GB2312"/>
          <w:sz w:val="32"/>
          <w:szCs w:val="32"/>
        </w:rPr>
        <w:t>48</w:t>
      </w:r>
      <w:r>
        <w:rPr>
          <w:rFonts w:hint="eastAsia" w:ascii="仿宋_GB2312" w:hAnsi="仿宋_GB2312" w:eastAsia="仿宋_GB2312" w:cs="仿宋_GB2312"/>
          <w:sz w:val="32"/>
          <w:szCs w:val="32"/>
        </w:rPr>
        <w:t>小时内的</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次核酸检测阴性证明，方可进入考点参加考试。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考生连续两天参加考试的，提供第</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天考试时符合规定的核酸检测阴性证明即可。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为确保入场检测进度，核酸检测阴性证明均须提供纸质版（医院出具的纸质证明或电子证明的打印件均可，纸质版证明需在卫生健康部门认可的核酸检测结果查询平台能查询到同步的检测记录）。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（十三）各科目开考前</w:t>
      </w:r>
      <w:r>
        <w:rPr>
          <w:rFonts w:hint="eastAsia" w:ascii="Times New Roman" w:hAnsi="Times New Roman" w:eastAsia="仿宋_GB2312" w:cs="仿宋_GB2312"/>
          <w:sz w:val="32"/>
          <w:szCs w:val="32"/>
        </w:rPr>
        <w:t>100</w:t>
      </w:r>
      <w:r>
        <w:rPr>
          <w:rFonts w:hint="eastAsia" w:ascii="仿宋_GB2312" w:hAnsi="仿宋_GB2312" w:eastAsia="仿宋_GB2312" w:cs="仿宋_GB2312"/>
          <w:sz w:val="32"/>
          <w:szCs w:val="32"/>
        </w:rPr>
        <w:t>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为确保顺利参加考试，建议考生关注“国务院客户端”微信公众号，在“便民服务”栏里点击“疫情服务”中“各地防控政策”选择“出发地”和“目的地”，及时了解各地的防控政策；建议考生提前预约核酸检测、提前进行自我健康状况监测和“贵州健康码、国家通信行程卡”绿码核验，若贵州健康码与本人状况不符，请立即咨询并及时按要求处置；为避免</w:t>
      </w:r>
      <w:r>
        <w:rPr>
          <w:rFonts w:hint="eastAsia" w:ascii="Times New Roman" w:hAnsi="Times New Roman" w:eastAsia="仿宋_GB2312" w:cs="仿宋_GB2312"/>
          <w:sz w:val="32"/>
          <w:szCs w:val="32"/>
        </w:rPr>
        <w:t>14</w:t>
      </w:r>
      <w:r>
        <w:rPr>
          <w:rFonts w:hint="eastAsia" w:ascii="仿宋_GB2312" w:hAnsi="仿宋_GB2312" w:eastAsia="仿宋_GB2312" w:cs="仿宋_GB2312"/>
          <w:sz w:val="32"/>
          <w:szCs w:val="32"/>
        </w:rPr>
        <w:t>天内所旅居地级市（直辖市为区）出现本土阳性病例影响考生参加考试，建议考生提前抵黔，为进行相应次数的核酸检测预留足够时间。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贵州健康码使用和贵州省疫情防控咨询电话：</w:t>
      </w:r>
      <w:r>
        <w:rPr>
          <w:rFonts w:hint="eastAsia" w:ascii="Times New Roman" w:hAnsi="Times New Roman" w:eastAsia="仿宋_GB2312" w:cs="仿宋_GB2312"/>
          <w:sz w:val="32"/>
          <w:szCs w:val="32"/>
        </w:rPr>
        <w:t>0851</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12345</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二、入场检测规定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（一）本人“贵州健康码、国家通信行程卡”绿码；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（二）经检测体温正常（低于 </w:t>
      </w:r>
      <w:r>
        <w:rPr>
          <w:rFonts w:hint="eastAsia" w:ascii="Times New Roman" w:hAnsi="Times New Roman" w:eastAsia="仿宋_GB2312" w:cs="仿宋_GB2312"/>
          <w:sz w:val="32"/>
          <w:szCs w:val="32"/>
        </w:rPr>
        <w:t>37</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（三）佩戴一次性使用医用口罩；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（四）提供相应的核酸检测阴性证明纸质版：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.考前</w:t>
      </w:r>
      <w:r>
        <w:rPr>
          <w:rFonts w:hint="eastAsia" w:ascii="Times New Roman" w:hAnsi="Times New Roman" w:eastAsia="仿宋_GB2312" w:cs="仿宋_GB2312"/>
          <w:sz w:val="32"/>
          <w:szCs w:val="32"/>
        </w:rPr>
        <w:t>14</w:t>
      </w:r>
      <w:r>
        <w:rPr>
          <w:rFonts w:hint="eastAsia" w:ascii="仿宋_GB2312" w:hAnsi="仿宋_GB2312" w:eastAsia="仿宋_GB2312" w:cs="仿宋_GB2312"/>
          <w:sz w:val="32"/>
          <w:szCs w:val="32"/>
        </w:rPr>
        <w:t>天内有“本土阳性病例报告地级市（直辖市为区）”旅居史人员，须提供抵黔后</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日内的</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 xml:space="preserve">次核酸检测阴性证明和考前 </w:t>
      </w:r>
      <w:r>
        <w:rPr>
          <w:rFonts w:hint="eastAsia" w:ascii="Times New Roman" w:hAnsi="Times New Roman" w:eastAsia="仿宋_GB2312" w:cs="仿宋_GB2312"/>
          <w:sz w:val="32"/>
          <w:szCs w:val="32"/>
        </w:rPr>
        <w:t>48</w:t>
      </w:r>
      <w:r>
        <w:rPr>
          <w:rFonts w:hint="eastAsia" w:ascii="仿宋_GB2312" w:hAnsi="仿宋_GB2312" w:eastAsia="仿宋_GB2312" w:cs="仿宋_GB2312"/>
          <w:sz w:val="32"/>
          <w:szCs w:val="32"/>
        </w:rPr>
        <w:t>小时内的</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次核酸检测阴性证明。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.其余所有考生均须提供考前</w:t>
      </w:r>
      <w:r>
        <w:rPr>
          <w:rFonts w:hint="eastAsia" w:ascii="Times New Roman" w:hAnsi="Times New Roman" w:eastAsia="仿宋_GB2312" w:cs="仿宋_GB2312"/>
          <w:sz w:val="32"/>
          <w:szCs w:val="32"/>
        </w:rPr>
        <w:t>48</w:t>
      </w:r>
      <w:r>
        <w:rPr>
          <w:rFonts w:hint="eastAsia" w:ascii="仿宋_GB2312" w:hAnsi="仿宋_GB2312" w:eastAsia="仿宋_GB2312" w:cs="仿宋_GB2312"/>
          <w:sz w:val="32"/>
          <w:szCs w:val="32"/>
        </w:rPr>
        <w:t>小时内的</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次核酸检测阴性证明。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三、入场检测步骤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考生须佩戴一次性使用医用口罩提前到达检测点排队，入场检测通道分别设置特殊检测通道和常规检测通道两类。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（一）特殊检测通道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考前 </w:t>
      </w:r>
      <w:r>
        <w:rPr>
          <w:rFonts w:hint="eastAsia" w:ascii="Times New Roman" w:hAnsi="Times New Roman" w:eastAsia="仿宋_GB2312" w:cs="仿宋_GB2312"/>
          <w:sz w:val="32"/>
          <w:szCs w:val="32"/>
        </w:rPr>
        <w:t>14</w:t>
      </w:r>
      <w:r>
        <w:rPr>
          <w:rFonts w:hint="eastAsia" w:ascii="仿宋_GB2312" w:hAnsi="仿宋_GB2312" w:eastAsia="仿宋_GB2312" w:cs="仿宋_GB2312"/>
          <w:sz w:val="32"/>
          <w:szCs w:val="32"/>
        </w:rPr>
        <w:t xml:space="preserve"> 天内有“本土阳性病例报告地级市（直辖市为区）”旅居史人员进入特殊检测通道。具体检测步骤如下：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考生到特殊检测通道提交考试当天本人“贵州健康码、国家通信行程卡”绿码、“抵黔后</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日内的</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次核酸检测阴性证明和考前</w:t>
      </w:r>
      <w:r>
        <w:rPr>
          <w:rFonts w:hint="eastAsia" w:ascii="Times New Roman" w:hAnsi="Times New Roman" w:eastAsia="仿宋_GB2312" w:cs="仿宋_GB2312"/>
          <w:sz w:val="32"/>
          <w:szCs w:val="32"/>
        </w:rPr>
        <w:t>48</w:t>
      </w:r>
      <w:r>
        <w:rPr>
          <w:rFonts w:hint="eastAsia" w:ascii="仿宋_GB2312" w:hAnsi="仿宋_GB2312" w:eastAsia="仿宋_GB2312" w:cs="仿宋_GB2312"/>
          <w:sz w:val="32"/>
          <w:szCs w:val="32"/>
        </w:rPr>
        <w:t>小时内的</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次核酸检测阴性证明纸质版”、《准考证》等相应证明材料报检测人员核验并接受体温检测。经检测合格的，检测人员在《准考证》上加盖入场检测合格章。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（二）常规检测通道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w:t>
      </w:r>
      <w:r>
        <w:rPr>
          <w:rFonts w:hint="eastAsia" w:ascii="Times New Roman" w:hAnsi="Times New Roman" w:eastAsia="仿宋_GB2312" w:cs="仿宋_GB2312"/>
          <w:sz w:val="32"/>
          <w:szCs w:val="32"/>
        </w:rPr>
        <w:t>14</w:t>
      </w:r>
      <w:r>
        <w:rPr>
          <w:rFonts w:hint="eastAsia" w:ascii="仿宋_GB2312" w:hAnsi="仿宋_GB2312" w:eastAsia="仿宋_GB2312" w:cs="仿宋_GB2312"/>
          <w:sz w:val="32"/>
          <w:szCs w:val="32"/>
        </w:rPr>
        <w:t>天内无“本土阳性病例报告地级市（直辖市为区）”旅居史人员进入常规检测通道，常规检测通道分两步进行检测，具体检测步骤如下：</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rPr>
      </w:pPr>
      <w:r>
        <w:rPr>
          <w:rFonts w:hint="eastAsia" w:ascii="Times New Roman" w:hAnsi="Times New Roman" w:eastAsia="仿宋_GB2312" w:cs="仿宋_GB2312"/>
          <w:b/>
          <w:bCs/>
          <w:sz w:val="32"/>
          <w:szCs w:val="32"/>
        </w:rPr>
        <w:t>1</w:t>
      </w:r>
      <w:r>
        <w:rPr>
          <w:rFonts w:hint="eastAsia" w:ascii="仿宋_GB2312" w:hAnsi="仿宋_GB2312" w:eastAsia="仿宋_GB2312" w:cs="仿宋_GB2312"/>
          <w:b/>
          <w:bCs/>
          <w:sz w:val="32"/>
          <w:szCs w:val="32"/>
        </w:rPr>
        <w:t>.第一步检测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考生须提前准备好考试当天本人“贵州健康码绿码”和《准考证》报检测人员核验并接受体温检测。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经第一步检测合格的，迅速前往第二步检测点。</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rPr>
      </w:pPr>
      <w:r>
        <w:rPr>
          <w:rFonts w:hint="eastAsia" w:ascii="Times New Roman" w:hAnsi="Times New Roman" w:eastAsia="仿宋_GB2312" w:cs="仿宋_GB2312"/>
          <w:b/>
          <w:bCs/>
          <w:sz w:val="32"/>
          <w:szCs w:val="32"/>
        </w:rPr>
        <w:t>2</w:t>
      </w:r>
      <w:r>
        <w:rPr>
          <w:rFonts w:hint="eastAsia" w:ascii="仿宋_GB2312" w:hAnsi="仿宋_GB2312" w:eastAsia="仿宋_GB2312" w:cs="仿宋_GB2312"/>
          <w:b/>
          <w:bCs/>
          <w:sz w:val="32"/>
          <w:szCs w:val="32"/>
        </w:rPr>
        <w:t>.第二步检测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考生前往第二步检测点过程中须提前准备好考试当天本人“国家通信行程卡绿码”、“考前</w:t>
      </w:r>
      <w:r>
        <w:rPr>
          <w:rFonts w:hint="eastAsia" w:ascii="Times New Roman" w:hAnsi="Times New Roman" w:eastAsia="仿宋_GB2312" w:cs="仿宋_GB2312"/>
          <w:sz w:val="32"/>
          <w:szCs w:val="32"/>
        </w:rPr>
        <w:t>48</w:t>
      </w:r>
      <w:r>
        <w:rPr>
          <w:rFonts w:hint="eastAsia" w:ascii="仿宋_GB2312" w:hAnsi="仿宋_GB2312" w:eastAsia="仿宋_GB2312" w:cs="仿宋_GB2312"/>
          <w:sz w:val="32"/>
          <w:szCs w:val="32"/>
        </w:rPr>
        <w:t>小时内</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次核酸检测阴性证明纸质版”和《准考证》报检测人员核验。“国家通信行程卡”可通过在“贵州健康码”下方点击“通信大数据行程卡”直接转入，或通过扫码打开。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经第二步检测合格的，检测人员在《准考证》上加盖入场检测合格章。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（三）临时隔离检查点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符合其他疫情防控要求，但体温≥</w:t>
      </w:r>
      <w:r>
        <w:rPr>
          <w:rFonts w:hint="eastAsia" w:ascii="Times New Roman" w:hAnsi="Times New Roman" w:eastAsia="仿宋_GB2312" w:cs="仿宋_GB2312"/>
          <w:sz w:val="32"/>
          <w:szCs w:val="32"/>
        </w:rPr>
        <w:t>37</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℃的考生，须立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即进入临时隔离检查点，间隔</w:t>
      </w:r>
      <w:r>
        <w:rPr>
          <w:rFonts w:hint="eastAsia" w:ascii="Times New Roman" w:hAnsi="Times New Roman" w:eastAsia="仿宋_GB2312" w:cs="仿宋_GB2312"/>
          <w:sz w:val="32"/>
          <w:szCs w:val="32"/>
        </w:rPr>
        <w:t>15</w:t>
      </w:r>
      <w:r>
        <w:rPr>
          <w:rFonts w:hint="eastAsia" w:ascii="仿宋_GB2312" w:hAnsi="仿宋_GB2312" w:eastAsia="仿宋_GB2312" w:cs="仿宋_GB2312"/>
          <w:sz w:val="32"/>
          <w:szCs w:val="32"/>
        </w:rPr>
        <w:t xml:space="preserve">分钟后，由现场医务人员使用水银体温计进行体温复测，经复测体温正常（低于 </w:t>
      </w:r>
      <w:r>
        <w:rPr>
          <w:rFonts w:hint="eastAsia" w:ascii="Times New Roman" w:hAnsi="Times New Roman" w:eastAsia="仿宋_GB2312" w:cs="仿宋_GB2312"/>
          <w:sz w:val="32"/>
          <w:szCs w:val="32"/>
        </w:rPr>
        <w:t>37</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℃）的，可以参加考试。经复测体温仍≥</w:t>
      </w:r>
      <w:r>
        <w:rPr>
          <w:rFonts w:hint="eastAsia" w:ascii="Times New Roman" w:hAnsi="Times New Roman" w:eastAsia="仿宋_GB2312" w:cs="仿宋_GB2312"/>
          <w:sz w:val="32"/>
          <w:szCs w:val="32"/>
        </w:rPr>
        <w:t>37</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℃的，不得进入考点参加考试。</w:t>
      </w:r>
    </w:p>
    <w:p>
      <w:pPr>
        <w:keepNext w:val="0"/>
        <w:keepLines w:val="0"/>
        <w:pageBreakBefore w:val="0"/>
        <w:kinsoku/>
        <w:wordWrap/>
        <w:overflowPunct/>
        <w:topLinePunct w:val="0"/>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 w:val="0"/>
          <w:bCs w:val="0"/>
          <w:color w:val="auto"/>
          <w:sz w:val="32"/>
          <w:szCs w:val="32"/>
          <w:highlight w:val="none"/>
          <w:u w:val="none"/>
        </w:rPr>
      </w:pPr>
      <w:r>
        <w:rPr>
          <w:rFonts w:hint="eastAsia" w:ascii="黑体" w:hAnsi="黑体" w:eastAsia="黑体" w:cs="黑体"/>
          <w:b w:val="0"/>
          <w:bCs w:val="0"/>
          <w:color w:val="auto"/>
          <w:sz w:val="32"/>
          <w:szCs w:val="32"/>
          <w:highlight w:val="none"/>
          <w:u w:val="none"/>
          <w:lang w:val="en-US" w:eastAsia="zh-CN"/>
        </w:rPr>
        <w:t>二、</w:t>
      </w:r>
      <w:r>
        <w:rPr>
          <w:rFonts w:hint="eastAsia" w:ascii="黑体" w:hAnsi="黑体" w:eastAsia="黑体" w:cs="黑体"/>
          <w:b w:val="0"/>
          <w:bCs w:val="0"/>
          <w:color w:val="auto"/>
          <w:sz w:val="32"/>
          <w:szCs w:val="32"/>
          <w:highlight w:val="none"/>
          <w:u w:val="none"/>
          <w:lang w:eastAsia="zh-CN"/>
        </w:rPr>
        <w:t>考生</w:t>
      </w:r>
      <w:r>
        <w:rPr>
          <w:rFonts w:hint="eastAsia" w:ascii="黑体" w:hAnsi="黑体" w:eastAsia="黑体" w:cs="黑体"/>
          <w:b w:val="0"/>
          <w:bCs w:val="0"/>
          <w:color w:val="auto"/>
          <w:sz w:val="32"/>
          <w:szCs w:val="32"/>
          <w:highlight w:val="none"/>
          <w:u w:val="none"/>
        </w:rPr>
        <w:t>入场检测规定</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76" w:lineRule="exact"/>
        <w:ind w:left="0" w:leftChars="0" w:right="0" w:rightChars="0" w:firstLine="627" w:firstLineChars="196"/>
        <w:jc w:val="left"/>
        <w:textAlignment w:val="auto"/>
        <w:outlineLvl w:val="9"/>
        <w:rPr>
          <w:rFonts w:hint="eastAsia" w:ascii="仿宋_GB2312" w:hAnsi="仿宋_GB2312" w:eastAsia="仿宋_GB2312" w:cs="仿宋_GB2312"/>
          <w:b w:val="0"/>
          <w:bCs w:val="0"/>
          <w:color w:val="auto"/>
          <w:kern w:val="0"/>
          <w:sz w:val="32"/>
          <w:szCs w:val="32"/>
          <w:highlight w:val="none"/>
          <w:u w:val="none"/>
          <w:lang w:val="en-US" w:eastAsia="zh-CN" w:bidi="ar"/>
        </w:rPr>
      </w:pPr>
      <w:r>
        <w:rPr>
          <w:rFonts w:hint="eastAsia" w:ascii="仿宋_GB2312" w:hAnsi="仿宋_GB2312" w:eastAsia="仿宋_GB2312" w:cs="仿宋_GB2312"/>
          <w:b w:val="0"/>
          <w:bCs w:val="0"/>
          <w:color w:val="auto"/>
          <w:kern w:val="0"/>
          <w:sz w:val="32"/>
          <w:szCs w:val="32"/>
          <w:highlight w:val="none"/>
          <w:u w:val="none"/>
          <w:lang w:val="en-US" w:eastAsia="zh-CN" w:bidi="ar"/>
        </w:rPr>
        <w:t>不符合疫情防控要求的人员不得参加本次考试，符合以上疫情防控要求的人员，</w:t>
      </w:r>
      <w:r>
        <w:rPr>
          <w:rFonts w:hint="eastAsia" w:ascii="仿宋" w:hAnsi="仿宋" w:eastAsia="仿宋" w:cs="仿宋"/>
          <w:b w:val="0"/>
          <w:bCs w:val="0"/>
          <w:color w:val="auto"/>
          <w:sz w:val="32"/>
          <w:szCs w:val="32"/>
        </w:rPr>
        <w:t>须经入场检测合格</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方可</w:t>
      </w:r>
      <w:r>
        <w:rPr>
          <w:rFonts w:hint="eastAsia" w:ascii="仿宋" w:hAnsi="仿宋" w:eastAsia="仿宋" w:cs="仿宋"/>
          <w:b w:val="0"/>
          <w:bCs w:val="0"/>
          <w:color w:val="auto"/>
          <w:sz w:val="32"/>
          <w:szCs w:val="32"/>
          <w:lang w:val="en-US" w:eastAsia="zh-CN"/>
        </w:rPr>
        <w:t>进入考点</w:t>
      </w:r>
      <w:r>
        <w:rPr>
          <w:rFonts w:hint="eastAsia" w:ascii="仿宋" w:hAnsi="仿宋" w:eastAsia="仿宋" w:cs="仿宋"/>
          <w:b w:val="0"/>
          <w:bCs w:val="0"/>
          <w:color w:val="auto"/>
          <w:sz w:val="32"/>
          <w:szCs w:val="32"/>
          <w:lang w:eastAsia="zh-CN"/>
        </w:rPr>
        <w:t>参加</w:t>
      </w:r>
      <w:r>
        <w:rPr>
          <w:rFonts w:hint="eastAsia" w:ascii="仿宋" w:hAnsi="仿宋" w:eastAsia="仿宋" w:cs="仿宋"/>
          <w:b w:val="0"/>
          <w:bCs w:val="0"/>
          <w:color w:val="auto"/>
          <w:sz w:val="32"/>
          <w:szCs w:val="32"/>
          <w:lang w:val="en-US" w:eastAsia="zh-CN"/>
        </w:rPr>
        <w:t>本次</w:t>
      </w:r>
      <w:r>
        <w:rPr>
          <w:rFonts w:hint="eastAsia" w:ascii="仿宋" w:hAnsi="仿宋" w:eastAsia="仿宋" w:cs="仿宋"/>
          <w:b w:val="0"/>
          <w:bCs w:val="0"/>
          <w:color w:val="auto"/>
          <w:sz w:val="32"/>
          <w:szCs w:val="32"/>
        </w:rPr>
        <w:t>考试。</w:t>
      </w:r>
      <w:r>
        <w:rPr>
          <w:rFonts w:hint="eastAsia" w:ascii="仿宋_GB2312" w:hAnsi="仿宋_GB2312" w:eastAsia="仿宋_GB2312" w:cs="仿宋_GB2312"/>
          <w:b w:val="0"/>
          <w:bCs w:val="0"/>
          <w:color w:val="auto"/>
          <w:kern w:val="0"/>
          <w:sz w:val="32"/>
          <w:szCs w:val="32"/>
          <w:highlight w:val="none"/>
          <w:u w:val="none"/>
          <w:lang w:val="en-US" w:eastAsia="zh-CN" w:bidi="ar"/>
        </w:rPr>
        <w:t>考生入场检测时和进入考点后，均须保持安全距离，不得扎堆聚集。</w:t>
      </w:r>
      <w:r>
        <w:rPr>
          <w:rFonts w:hint="eastAsia" w:ascii="仿宋" w:hAnsi="仿宋" w:eastAsia="仿宋" w:cs="仿宋"/>
          <w:b w:val="0"/>
          <w:bCs w:val="0"/>
          <w:color w:val="auto"/>
          <w:sz w:val="32"/>
          <w:szCs w:val="32"/>
          <w:lang w:val="en-US" w:eastAsia="zh-CN"/>
        </w:rPr>
        <w:t>考生</w:t>
      </w:r>
      <w:r>
        <w:rPr>
          <w:rFonts w:hint="eastAsia" w:ascii="仿宋" w:hAnsi="仿宋" w:eastAsia="仿宋" w:cs="仿宋"/>
          <w:b w:val="0"/>
          <w:bCs w:val="0"/>
          <w:color w:val="auto"/>
          <w:sz w:val="32"/>
          <w:szCs w:val="32"/>
        </w:rPr>
        <w:t>须同时符合以下全部检测要求，方可进入考点参加本次考试：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76" w:lineRule="exact"/>
        <w:ind w:left="0" w:leftChars="0" w:right="0" w:rightChars="0" w:firstLine="627" w:firstLineChars="196"/>
        <w:jc w:val="left"/>
        <w:textAlignment w:val="auto"/>
        <w:outlineLvl w:val="9"/>
        <w:rPr>
          <w:rFonts w:hint="eastAsia" w:ascii="仿宋_GB2312" w:hAnsi="仿宋_GB2312" w:eastAsia="仿宋_GB2312" w:cs="仿宋_GB2312"/>
          <w:b w:val="0"/>
          <w:bCs w:val="0"/>
          <w:color w:val="auto"/>
          <w:kern w:val="0"/>
          <w:sz w:val="32"/>
          <w:szCs w:val="32"/>
          <w:highlight w:val="none"/>
          <w:u w:val="none"/>
          <w:lang w:val="en-US" w:eastAsia="zh-CN" w:bidi="ar"/>
        </w:rPr>
      </w:pPr>
      <w:r>
        <w:rPr>
          <w:rFonts w:hint="eastAsia" w:ascii="仿宋_GB2312" w:hAnsi="仿宋_GB2312" w:eastAsia="仿宋_GB2312" w:cs="仿宋_GB2312"/>
          <w:b w:val="0"/>
          <w:bCs w:val="0"/>
          <w:color w:val="auto"/>
          <w:kern w:val="0"/>
          <w:sz w:val="32"/>
          <w:szCs w:val="32"/>
          <w:highlight w:val="none"/>
          <w:u w:val="none"/>
          <w:lang w:val="en-US" w:eastAsia="zh-CN" w:bidi="ar"/>
        </w:rPr>
        <w:t>（一</w:t>
      </w:r>
      <w:r>
        <w:rPr>
          <w:rStyle w:val="9"/>
          <w:rFonts w:hint="eastAsia" w:ascii="仿宋" w:hAnsi="仿宋" w:eastAsia="仿宋" w:cs="仿宋"/>
          <w:b w:val="0"/>
          <w:bCs w:val="0"/>
          <w:color w:val="auto"/>
          <w:sz w:val="32"/>
          <w:szCs w:val="32"/>
          <w:lang w:val="en-US" w:eastAsia="zh-CN"/>
        </w:rPr>
        <w:t>）考试当天本人“贵州健康码、国家通信行程卡”</w:t>
      </w:r>
      <w:r>
        <w:rPr>
          <w:rFonts w:hint="eastAsia" w:ascii="仿宋_GB2312" w:hAnsi="仿宋_GB2312" w:eastAsia="仿宋_GB2312" w:cs="仿宋_GB2312"/>
          <w:b w:val="0"/>
          <w:bCs w:val="0"/>
          <w:color w:val="auto"/>
          <w:kern w:val="0"/>
          <w:sz w:val="32"/>
          <w:szCs w:val="32"/>
          <w:highlight w:val="none"/>
          <w:u w:val="none"/>
          <w:lang w:val="en-US" w:eastAsia="zh-CN" w:bidi="ar"/>
        </w:rPr>
        <w:t>为绿码、无省外旅居史且体温正常（低于</w:t>
      </w:r>
      <w:r>
        <w:rPr>
          <w:rFonts w:hint="eastAsia" w:ascii="Times New Roman" w:hAnsi="Times New Roman" w:eastAsia="仿宋_GB2312" w:cs="仿宋_GB2312"/>
          <w:b w:val="0"/>
          <w:bCs w:val="0"/>
          <w:color w:val="auto"/>
          <w:kern w:val="0"/>
          <w:sz w:val="32"/>
          <w:szCs w:val="32"/>
          <w:highlight w:val="none"/>
          <w:u w:val="none"/>
          <w:lang w:val="en-US" w:eastAsia="zh-CN" w:bidi="ar"/>
        </w:rPr>
        <w:t>37</w:t>
      </w:r>
      <w:r>
        <w:rPr>
          <w:rFonts w:hint="eastAsia" w:ascii="仿宋_GB2312" w:hAnsi="仿宋_GB2312" w:eastAsia="仿宋_GB2312" w:cs="仿宋_GB2312"/>
          <w:b w:val="0"/>
          <w:bCs w:val="0"/>
          <w:color w:val="auto"/>
          <w:kern w:val="0"/>
          <w:sz w:val="32"/>
          <w:szCs w:val="32"/>
          <w:highlight w:val="none"/>
          <w:u w:val="none"/>
          <w:lang w:val="en-US" w:eastAsia="zh-CN" w:bidi="ar"/>
        </w:rPr>
        <w:t>.</w:t>
      </w:r>
      <w:r>
        <w:rPr>
          <w:rFonts w:hint="eastAsia" w:ascii="Times New Roman" w:hAnsi="Times New Roman" w:eastAsia="仿宋_GB2312" w:cs="仿宋_GB2312"/>
          <w:b w:val="0"/>
          <w:bCs w:val="0"/>
          <w:color w:val="auto"/>
          <w:kern w:val="0"/>
          <w:sz w:val="32"/>
          <w:szCs w:val="32"/>
          <w:highlight w:val="none"/>
          <w:u w:val="none"/>
          <w:lang w:val="en-US" w:eastAsia="zh-CN" w:bidi="ar"/>
        </w:rPr>
        <w:t>3</w:t>
      </w:r>
      <w:r>
        <w:rPr>
          <w:rFonts w:hint="eastAsia" w:ascii="仿宋_GB2312" w:hAnsi="仿宋_GB2312" w:eastAsia="仿宋_GB2312" w:cs="仿宋_GB2312"/>
          <w:b w:val="0"/>
          <w:bCs w:val="0"/>
          <w:color w:val="auto"/>
          <w:kern w:val="0"/>
          <w:sz w:val="32"/>
          <w:szCs w:val="32"/>
          <w:highlight w:val="none"/>
          <w:u w:val="none"/>
          <w:lang w:val="en-US" w:eastAsia="zh-CN" w:bidi="ar"/>
        </w:rPr>
        <w:t>℃）的考生。</w:t>
      </w:r>
    </w:p>
    <w:p>
      <w:pPr>
        <w:keepNext w:val="0"/>
        <w:keepLines w:val="0"/>
        <w:pageBreakBefore w:val="0"/>
        <w:kinsoku/>
        <w:wordWrap/>
        <w:overflowPunct/>
        <w:topLinePunct w:val="0"/>
        <w:autoSpaceDN/>
        <w:bidi w:val="0"/>
        <w:adjustRightInd/>
        <w:snapToGrid/>
        <w:spacing w:line="576" w:lineRule="exact"/>
        <w:ind w:firstLine="640" w:firstLineChars="200"/>
        <w:textAlignment w:val="auto"/>
        <w:rPr>
          <w:rFonts w:hint="eastAsia" w:ascii="仿宋" w:hAnsi="仿宋" w:eastAsia="仿宋" w:cs="仿宋"/>
          <w:b w:val="0"/>
          <w:bCs w:val="0"/>
          <w:sz w:val="32"/>
          <w:szCs w:val="32"/>
        </w:rPr>
      </w:pPr>
      <w:r>
        <w:rPr>
          <w:rFonts w:hint="eastAsia" w:ascii="仿宋_GB2312" w:hAnsi="仿宋_GB2312" w:eastAsia="仿宋_GB2312" w:cs="仿宋_GB2312"/>
          <w:b w:val="0"/>
          <w:bCs w:val="0"/>
          <w:color w:val="auto"/>
          <w:kern w:val="0"/>
          <w:sz w:val="32"/>
          <w:szCs w:val="32"/>
          <w:highlight w:val="none"/>
          <w:u w:val="none"/>
          <w:lang w:val="en-US" w:eastAsia="zh-CN" w:bidi="ar"/>
        </w:rPr>
        <w:t>（二）</w:t>
      </w:r>
      <w:r>
        <w:rPr>
          <w:rFonts w:hint="eastAsia" w:ascii="仿宋" w:hAnsi="仿宋" w:eastAsia="仿宋" w:cs="仿宋"/>
          <w:b w:val="0"/>
          <w:bCs w:val="0"/>
          <w:sz w:val="32"/>
          <w:szCs w:val="32"/>
        </w:rPr>
        <w:t xml:space="preserve">均须提供考前 </w:t>
      </w:r>
      <w:r>
        <w:rPr>
          <w:rFonts w:hint="eastAsia" w:ascii="Times New Roman" w:hAnsi="Times New Roman" w:eastAsia="仿宋" w:cs="仿宋"/>
          <w:b w:val="0"/>
          <w:bCs w:val="0"/>
          <w:sz w:val="32"/>
          <w:szCs w:val="32"/>
        </w:rPr>
        <w:t>48</w:t>
      </w:r>
      <w:r>
        <w:rPr>
          <w:rFonts w:hint="eastAsia" w:ascii="仿宋" w:hAnsi="仿宋" w:eastAsia="仿宋" w:cs="仿宋"/>
          <w:b w:val="0"/>
          <w:bCs w:val="0"/>
          <w:sz w:val="32"/>
          <w:szCs w:val="32"/>
        </w:rPr>
        <w:t xml:space="preserve"> 小时内的 </w:t>
      </w:r>
      <w:r>
        <w:rPr>
          <w:rFonts w:hint="eastAsia" w:ascii="Times New Roman" w:hAnsi="Times New Roman" w:eastAsia="仿宋" w:cs="仿宋"/>
          <w:b w:val="0"/>
          <w:bCs w:val="0"/>
          <w:sz w:val="32"/>
          <w:szCs w:val="32"/>
        </w:rPr>
        <w:t>1</w:t>
      </w:r>
      <w:r>
        <w:rPr>
          <w:rFonts w:hint="eastAsia" w:ascii="仿宋" w:hAnsi="仿宋" w:eastAsia="仿宋" w:cs="仿宋"/>
          <w:b w:val="0"/>
          <w:bCs w:val="0"/>
          <w:sz w:val="32"/>
          <w:szCs w:val="32"/>
        </w:rPr>
        <w:t xml:space="preserve"> 次核酸检测阴性证明纸质版。</w:t>
      </w:r>
      <w:bookmarkStart w:id="0" w:name="_GoBack"/>
      <w:bookmarkEnd w:id="0"/>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76" w:lineRule="exact"/>
        <w:ind w:left="0" w:leftChars="0" w:right="0" w:rightChars="0" w:firstLine="627" w:firstLineChars="196"/>
        <w:jc w:val="left"/>
        <w:textAlignment w:val="auto"/>
        <w:outlineLvl w:val="9"/>
        <w:rPr>
          <w:rFonts w:hint="default" w:ascii="仿宋_GB2312" w:hAnsi="仿宋_GB2312" w:eastAsia="仿宋_GB2312" w:cs="仿宋_GB2312"/>
          <w:b w:val="0"/>
          <w:bCs w:val="0"/>
          <w:color w:val="auto"/>
          <w:kern w:val="0"/>
          <w:sz w:val="32"/>
          <w:szCs w:val="32"/>
          <w:highlight w:val="none"/>
          <w:u w:val="none"/>
          <w:lang w:val="en-US" w:eastAsia="zh-CN" w:bidi="ar"/>
        </w:rPr>
      </w:pPr>
      <w:r>
        <w:rPr>
          <w:rFonts w:hint="eastAsia" w:ascii="仿宋_GB2312" w:hAnsi="仿宋_GB2312" w:eastAsia="仿宋_GB2312" w:cs="仿宋_GB2312"/>
          <w:b w:val="0"/>
          <w:bCs w:val="0"/>
          <w:color w:val="auto"/>
          <w:kern w:val="0"/>
          <w:sz w:val="32"/>
          <w:szCs w:val="32"/>
          <w:highlight w:val="none"/>
          <w:u w:val="none"/>
          <w:lang w:val="en-US" w:eastAsia="zh-CN" w:bidi="ar"/>
        </w:rPr>
        <w:t>（三）应出具合法有效的身份证件原件和准考证，不接受电子形式证件进场。</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76" w:lineRule="exact"/>
        <w:ind w:left="0" w:leftChars="0" w:right="0" w:rightChars="0" w:firstLine="627" w:firstLineChars="196"/>
        <w:jc w:val="left"/>
        <w:textAlignment w:val="auto"/>
        <w:outlineLvl w:val="9"/>
        <w:rPr>
          <w:rFonts w:hint="eastAsia" w:ascii="仿宋_GB2312" w:hAnsi="仿宋_GB2312" w:eastAsia="仿宋_GB2312" w:cs="仿宋_GB2312"/>
          <w:b w:val="0"/>
          <w:bCs w:val="0"/>
          <w:color w:val="auto"/>
          <w:kern w:val="0"/>
          <w:sz w:val="32"/>
          <w:szCs w:val="32"/>
          <w:highlight w:val="none"/>
          <w:u w:val="none"/>
          <w:lang w:val="en-US" w:eastAsia="zh-CN" w:bidi="ar"/>
        </w:rPr>
      </w:pPr>
      <w:r>
        <w:rPr>
          <w:rFonts w:hint="eastAsia" w:ascii="仿宋_GB2312" w:hAnsi="仿宋_GB2312" w:eastAsia="仿宋_GB2312" w:cs="仿宋_GB2312"/>
          <w:b w:val="0"/>
          <w:bCs w:val="0"/>
          <w:color w:val="auto"/>
          <w:kern w:val="0"/>
          <w:sz w:val="32"/>
          <w:szCs w:val="32"/>
          <w:highlight w:val="none"/>
          <w:u w:val="none"/>
          <w:lang w:val="en-US" w:eastAsia="zh-CN" w:bidi="ar"/>
        </w:rPr>
        <w:t>（四）应规范佩戴一次性使用医用口罩。</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本人已认真阅读《</w:t>
      </w:r>
      <w:r>
        <w:rPr>
          <w:rFonts w:hint="eastAsia" w:ascii="Times New Roman" w:hAnsi="Times New Roman" w:eastAsia="仿宋_GB2312" w:cs="仿宋_GB2312"/>
          <w:b w:val="0"/>
          <w:color w:val="auto"/>
          <w:kern w:val="0"/>
          <w:sz w:val="32"/>
          <w:szCs w:val="32"/>
          <w:highlight w:val="none"/>
          <w:u w:val="none"/>
          <w:lang w:val="en-US" w:eastAsia="zh-CN" w:bidi="ar"/>
        </w:rPr>
        <w:t>2022</w:t>
      </w:r>
      <w:r>
        <w:rPr>
          <w:rFonts w:hint="eastAsia" w:ascii="仿宋_GB2312" w:hAnsi="仿宋_GB2312" w:eastAsia="仿宋_GB2312" w:cs="仿宋_GB2312"/>
          <w:b w:val="0"/>
          <w:color w:val="auto"/>
          <w:kern w:val="0"/>
          <w:sz w:val="32"/>
          <w:szCs w:val="32"/>
          <w:highlight w:val="none"/>
          <w:u w:val="none"/>
          <w:lang w:val="en-US" w:eastAsia="zh-CN" w:bidi="ar"/>
        </w:rPr>
        <w:t>年贵州省人事考试新冠肺炎疫情防控告知暨承诺书》，知悉告知事项、证明义务和防疫要求。在此郑重承诺：本人符合本文规定的可参加本次考试的情形，本人将在考试全过程中严格遵守疫情防控规定，本人填报、提交和现场出示的所有信息（证明）均真实、准确、完整、有效，符合疫情防控相关要求，并自愿承担因不实承诺应承担的相关责任、接受相应处理。</w:t>
      </w:r>
    </w:p>
    <w:p>
      <w:pPr>
        <w:keepNext w:val="0"/>
        <w:keepLines w:val="0"/>
        <w:pageBreakBefore w:val="0"/>
        <w:kinsoku/>
        <w:wordWrap/>
        <w:overflowPunct/>
        <w:topLinePunct w:val="0"/>
        <w:autoSpaceDN/>
        <w:bidi w:val="0"/>
        <w:adjustRightInd/>
        <w:snapToGrid/>
        <w:spacing w:line="560" w:lineRule="exact"/>
        <w:ind w:left="0" w:leftChars="0" w:right="0" w:rightChars="0"/>
        <w:textAlignment w:val="auto"/>
        <w:outlineLvl w:val="9"/>
        <w:rPr>
          <w:color w:val="auto"/>
          <w:highlight w:val="none"/>
        </w:rPr>
      </w:pPr>
    </w:p>
    <w:sectPr>
      <w:headerReference r:id="rId3" w:type="default"/>
      <w:footerReference r:id="rId4" w:type="default"/>
      <w:pgSz w:w="11906" w:h="16838"/>
      <w:pgMar w:top="2098" w:right="1531" w:bottom="1984"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11</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11</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4915C7"/>
    <w:rsid w:val="006211D6"/>
    <w:rsid w:val="03241672"/>
    <w:rsid w:val="037673B2"/>
    <w:rsid w:val="04A311B5"/>
    <w:rsid w:val="04AC52D8"/>
    <w:rsid w:val="05293894"/>
    <w:rsid w:val="05B81681"/>
    <w:rsid w:val="063F112B"/>
    <w:rsid w:val="06D84907"/>
    <w:rsid w:val="089F4925"/>
    <w:rsid w:val="09243159"/>
    <w:rsid w:val="093B3498"/>
    <w:rsid w:val="0A5E49BF"/>
    <w:rsid w:val="0C0B2297"/>
    <w:rsid w:val="0C5B27AD"/>
    <w:rsid w:val="0CE33E28"/>
    <w:rsid w:val="0D232B19"/>
    <w:rsid w:val="0E2F200C"/>
    <w:rsid w:val="0FB02625"/>
    <w:rsid w:val="0FFC08E5"/>
    <w:rsid w:val="10366C75"/>
    <w:rsid w:val="1235258A"/>
    <w:rsid w:val="1486488C"/>
    <w:rsid w:val="157C5EE7"/>
    <w:rsid w:val="165A35D3"/>
    <w:rsid w:val="16701B56"/>
    <w:rsid w:val="16CB3FF5"/>
    <w:rsid w:val="16F90DE2"/>
    <w:rsid w:val="170A3C89"/>
    <w:rsid w:val="1712607C"/>
    <w:rsid w:val="17293B9E"/>
    <w:rsid w:val="17B40DEB"/>
    <w:rsid w:val="17F228DC"/>
    <w:rsid w:val="181A4FA4"/>
    <w:rsid w:val="182B52C2"/>
    <w:rsid w:val="19FD1283"/>
    <w:rsid w:val="1A4D0130"/>
    <w:rsid w:val="1BC947E3"/>
    <w:rsid w:val="1C7C36B9"/>
    <w:rsid w:val="1D7B14A9"/>
    <w:rsid w:val="1D9808B5"/>
    <w:rsid w:val="1E6B52AA"/>
    <w:rsid w:val="1FC61AD8"/>
    <w:rsid w:val="20E26A63"/>
    <w:rsid w:val="213435E7"/>
    <w:rsid w:val="2180280C"/>
    <w:rsid w:val="23817AED"/>
    <w:rsid w:val="24741447"/>
    <w:rsid w:val="24F910B0"/>
    <w:rsid w:val="26473000"/>
    <w:rsid w:val="265C2D6D"/>
    <w:rsid w:val="26844ECB"/>
    <w:rsid w:val="2692327E"/>
    <w:rsid w:val="275C101B"/>
    <w:rsid w:val="28942E2F"/>
    <w:rsid w:val="28E046B6"/>
    <w:rsid w:val="28FF35E2"/>
    <w:rsid w:val="2A3C1285"/>
    <w:rsid w:val="2BB265DA"/>
    <w:rsid w:val="2D616FE9"/>
    <w:rsid w:val="2DB008BE"/>
    <w:rsid w:val="2E084B98"/>
    <w:rsid w:val="306201E1"/>
    <w:rsid w:val="30CD0261"/>
    <w:rsid w:val="33BF3EC3"/>
    <w:rsid w:val="34281812"/>
    <w:rsid w:val="366426B2"/>
    <w:rsid w:val="36826439"/>
    <w:rsid w:val="377A328D"/>
    <w:rsid w:val="37B83E14"/>
    <w:rsid w:val="37CC1059"/>
    <w:rsid w:val="37F47116"/>
    <w:rsid w:val="395912C8"/>
    <w:rsid w:val="3A3B2827"/>
    <w:rsid w:val="3A9B1DC2"/>
    <w:rsid w:val="3ABD09CA"/>
    <w:rsid w:val="3AD53782"/>
    <w:rsid w:val="3E0C5843"/>
    <w:rsid w:val="3EA278E2"/>
    <w:rsid w:val="403A038A"/>
    <w:rsid w:val="40961024"/>
    <w:rsid w:val="40F9641D"/>
    <w:rsid w:val="41904F5D"/>
    <w:rsid w:val="41B125AD"/>
    <w:rsid w:val="41F71D53"/>
    <w:rsid w:val="42963E21"/>
    <w:rsid w:val="42E1287A"/>
    <w:rsid w:val="43726710"/>
    <w:rsid w:val="43995C07"/>
    <w:rsid w:val="43C83C2C"/>
    <w:rsid w:val="445B06A6"/>
    <w:rsid w:val="452A372A"/>
    <w:rsid w:val="457F39F7"/>
    <w:rsid w:val="45EE5967"/>
    <w:rsid w:val="46060B96"/>
    <w:rsid w:val="465F2A06"/>
    <w:rsid w:val="46E658B2"/>
    <w:rsid w:val="47107042"/>
    <w:rsid w:val="47F95F3A"/>
    <w:rsid w:val="48BB2040"/>
    <w:rsid w:val="48DC3C4E"/>
    <w:rsid w:val="48E228D2"/>
    <w:rsid w:val="48EC4F51"/>
    <w:rsid w:val="49635E3D"/>
    <w:rsid w:val="4A5127D9"/>
    <w:rsid w:val="4B0B5202"/>
    <w:rsid w:val="4BA74631"/>
    <w:rsid w:val="4BCA2E79"/>
    <w:rsid w:val="4BE2677F"/>
    <w:rsid w:val="4C047EF4"/>
    <w:rsid w:val="4ED62D5B"/>
    <w:rsid w:val="4F401600"/>
    <w:rsid w:val="4FD87756"/>
    <w:rsid w:val="51782363"/>
    <w:rsid w:val="524B4B42"/>
    <w:rsid w:val="52580CCD"/>
    <w:rsid w:val="53794602"/>
    <w:rsid w:val="53B96D8B"/>
    <w:rsid w:val="54437434"/>
    <w:rsid w:val="555B0286"/>
    <w:rsid w:val="5603199B"/>
    <w:rsid w:val="56154A03"/>
    <w:rsid w:val="56DE4191"/>
    <w:rsid w:val="570534FD"/>
    <w:rsid w:val="574915C7"/>
    <w:rsid w:val="586A3EEA"/>
    <w:rsid w:val="58791F10"/>
    <w:rsid w:val="595A7186"/>
    <w:rsid w:val="59770754"/>
    <w:rsid w:val="59A70448"/>
    <w:rsid w:val="59EA21C5"/>
    <w:rsid w:val="5A7824D2"/>
    <w:rsid w:val="5B755FBE"/>
    <w:rsid w:val="5BA8294F"/>
    <w:rsid w:val="5F3D29CC"/>
    <w:rsid w:val="5FE50E88"/>
    <w:rsid w:val="6230488D"/>
    <w:rsid w:val="62A41D28"/>
    <w:rsid w:val="64D74060"/>
    <w:rsid w:val="652A51C0"/>
    <w:rsid w:val="657C4124"/>
    <w:rsid w:val="65CF4497"/>
    <w:rsid w:val="65D56957"/>
    <w:rsid w:val="66C445DB"/>
    <w:rsid w:val="66D15844"/>
    <w:rsid w:val="66E86A4F"/>
    <w:rsid w:val="68CE1943"/>
    <w:rsid w:val="69283F3B"/>
    <w:rsid w:val="69316513"/>
    <w:rsid w:val="6A0C15A5"/>
    <w:rsid w:val="6A28394F"/>
    <w:rsid w:val="6BBE2BFE"/>
    <w:rsid w:val="6C135B76"/>
    <w:rsid w:val="6E263CBA"/>
    <w:rsid w:val="6E343923"/>
    <w:rsid w:val="6E566CA5"/>
    <w:rsid w:val="6E5F5987"/>
    <w:rsid w:val="6EAD168D"/>
    <w:rsid w:val="6FA61DC8"/>
    <w:rsid w:val="6FE0399D"/>
    <w:rsid w:val="70407C2D"/>
    <w:rsid w:val="70483424"/>
    <w:rsid w:val="7074064D"/>
    <w:rsid w:val="709E165B"/>
    <w:rsid w:val="721D42D2"/>
    <w:rsid w:val="73C10A46"/>
    <w:rsid w:val="74D03CBD"/>
    <w:rsid w:val="7507466B"/>
    <w:rsid w:val="752E32DD"/>
    <w:rsid w:val="759D37EF"/>
    <w:rsid w:val="75EE6870"/>
    <w:rsid w:val="76E77AF5"/>
    <w:rsid w:val="78854AD1"/>
    <w:rsid w:val="79082251"/>
    <w:rsid w:val="7B415139"/>
    <w:rsid w:val="7C16586F"/>
    <w:rsid w:val="7C7D4043"/>
    <w:rsid w:val="7DC03E33"/>
    <w:rsid w:val="7DCC1CF4"/>
    <w:rsid w:val="7E7D77C7"/>
    <w:rsid w:val="D5FD1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9"/>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FollowedHyperlink"/>
    <w:basedOn w:val="6"/>
    <w:qFormat/>
    <w:uiPriority w:val="0"/>
    <w:rPr>
      <w:color w:val="800080"/>
      <w:u w:val="single"/>
    </w:rPr>
  </w:style>
  <w:style w:type="character" w:styleId="8">
    <w:name w:val="Hyperlink"/>
    <w:basedOn w:val="6"/>
    <w:qFormat/>
    <w:uiPriority w:val="0"/>
    <w:rPr>
      <w:color w:val="0000FF"/>
      <w:u w:val="single"/>
    </w:rPr>
  </w:style>
  <w:style w:type="character" w:customStyle="1" w:styleId="9">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2020-10-30T12:27:00Z</dcterms:created>
  <dc:creator>leho</dc:creator>
  <cp:lastModifiedBy>柏佳威</cp:lastModifiedBy>
  <cp:lastPrinted>2021-08-25T04:32:00Z</cp:lastPrinted>
  <dcterms:modified xsi:type="dcterms:W3CDTF">2022-06-08T02:44:23Z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2FD65F0843E445EB97F16A64B3832FFD</vt:lpwstr>
  </property>
</Properties>
</file>