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附件7</w:t>
      </w:r>
    </w:p>
    <w:p>
      <w:pPr>
        <w:pStyle w:val="2"/>
        <w:shd w:val="clear" w:color="auto" w:fill="FFFFFF"/>
        <w:spacing w:before="0" w:beforeAutospacing="0" w:after="0" w:afterAutospacing="0" w:line="300" w:lineRule="atLeas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2021年下半年教师资格面试</w:t>
      </w:r>
    </w:p>
    <w:p>
      <w:pPr>
        <w:pStyle w:val="2"/>
        <w:shd w:val="clear" w:color="auto" w:fill="FFFFFF"/>
        <w:spacing w:before="0" w:beforeAutospacing="0" w:after="0" w:afterAutospacing="0" w:line="300" w:lineRule="atLeast"/>
        <w:jc w:val="center"/>
        <w:rPr>
          <w:rFonts w:ascii="方正小标宋简体" w:hAnsi="方正小标宋简体" w:eastAsia="方正小标宋简体"/>
          <w:color w:val="333333"/>
          <w:sz w:val="44"/>
          <w:szCs w:val="44"/>
        </w:rPr>
      </w:pPr>
      <w:r>
        <w:rPr>
          <w:rFonts w:hint="eastAsia" w:ascii="方正小标宋简体" w:hAnsi="方正小标宋简体" w:eastAsia="方正小标宋简体"/>
          <w:sz w:val="44"/>
          <w:szCs w:val="44"/>
        </w:rPr>
        <w:t>天津商务职业学院（海河教育园校区）考点考生入场须知</w:t>
      </w:r>
    </w:p>
    <w:p>
      <w:pPr>
        <w:pStyle w:val="2"/>
        <w:shd w:val="clear" w:color="auto" w:fill="FFFFFF"/>
        <w:spacing w:before="0" w:beforeAutospacing="0" w:after="0" w:afterAutospacing="0" w:line="500" w:lineRule="exact"/>
        <w:jc w:val="both"/>
        <w:rPr>
          <w:color w:val="000000"/>
          <w:sz w:val="32"/>
          <w:szCs w:val="32"/>
        </w:rPr>
      </w:pPr>
      <w:bookmarkStart w:id="0" w:name="_GoBack"/>
      <w:r>
        <w:rPr>
          <w:rFonts w:hint="eastAsia"/>
          <w:color w:val="333333"/>
          <w:sz w:val="32"/>
          <w:szCs w:val="32"/>
        </w:rPr>
        <w:t>亲爱的考生：</w:t>
      </w:r>
    </w:p>
    <w:bookmarkEnd w:id="0"/>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为做好2021年下半年天津市中小学教师资格面试天津商务职业学院（海河教育园校区）考点考务工作，现将面试当天的入校注意事项公告如下：</w:t>
      </w:r>
    </w:p>
    <w:p>
      <w:pPr>
        <w:pStyle w:val="2"/>
        <w:shd w:val="clear" w:color="auto" w:fill="FFFFFF"/>
        <w:spacing w:before="0" w:beforeAutospacing="0" w:after="0" w:afterAutospacing="0" w:line="500" w:lineRule="exact"/>
        <w:ind w:firstLine="600"/>
        <w:jc w:val="both"/>
        <w:rPr>
          <w:color w:val="000000"/>
          <w:sz w:val="32"/>
          <w:szCs w:val="32"/>
        </w:rPr>
      </w:pPr>
      <w:r>
        <w:rPr>
          <w:rStyle w:val="5"/>
          <w:rFonts w:hint="eastAsia"/>
          <w:color w:val="333333"/>
          <w:sz w:val="32"/>
          <w:szCs w:val="32"/>
        </w:rPr>
        <w:t>一、面试时间、地点</w:t>
      </w:r>
    </w:p>
    <w:p>
      <w:pPr>
        <w:pStyle w:val="2"/>
        <w:shd w:val="clear" w:color="auto" w:fill="FFFFFF"/>
        <w:spacing w:before="0" w:beforeAutospacing="0" w:after="0" w:afterAutospacing="0" w:line="500" w:lineRule="exact"/>
        <w:ind w:firstLine="600"/>
        <w:jc w:val="both"/>
        <w:rPr>
          <w:color w:val="000000"/>
          <w:sz w:val="32"/>
          <w:szCs w:val="32"/>
        </w:rPr>
      </w:pPr>
      <w:r>
        <w:rPr>
          <w:rStyle w:val="5"/>
          <w:rFonts w:hint="eastAsia"/>
          <w:color w:val="333333"/>
          <w:sz w:val="32"/>
          <w:szCs w:val="32"/>
        </w:rPr>
        <w:t>1.面试时间</w:t>
      </w:r>
    </w:p>
    <w:p>
      <w:pPr>
        <w:pStyle w:val="2"/>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2022年</w:t>
      </w:r>
      <w:r>
        <w:rPr>
          <w:rStyle w:val="5"/>
          <w:rFonts w:hint="eastAsia"/>
          <w:color w:val="333333"/>
          <w:sz w:val="32"/>
          <w:szCs w:val="32"/>
        </w:rPr>
        <w:t>1月8日—9日</w:t>
      </w:r>
      <w:r>
        <w:rPr>
          <w:rFonts w:hint="eastAsia"/>
          <w:color w:val="333333"/>
          <w:sz w:val="32"/>
          <w:szCs w:val="32"/>
        </w:rPr>
        <w:t>，具体入场时间以准考证上的时间为准。</w:t>
      </w:r>
    </w:p>
    <w:p>
      <w:pPr>
        <w:pStyle w:val="2"/>
        <w:shd w:val="clear" w:color="auto" w:fill="FFFFFF"/>
        <w:spacing w:before="0" w:beforeAutospacing="0" w:after="0" w:afterAutospacing="0" w:line="500" w:lineRule="exact"/>
        <w:ind w:firstLine="600"/>
        <w:jc w:val="both"/>
        <w:rPr>
          <w:rStyle w:val="5"/>
          <w:bCs w:val="0"/>
          <w:color w:val="333333"/>
          <w:sz w:val="32"/>
          <w:szCs w:val="32"/>
        </w:rPr>
      </w:pPr>
      <w:r>
        <w:rPr>
          <w:rFonts w:hint="eastAsia"/>
          <w:color w:val="333333"/>
          <w:sz w:val="32"/>
          <w:szCs w:val="32"/>
        </w:rPr>
        <w:t>2.</w:t>
      </w:r>
      <w:r>
        <w:rPr>
          <w:rStyle w:val="5"/>
          <w:rFonts w:hint="eastAsia"/>
          <w:color w:val="333333"/>
          <w:sz w:val="32"/>
          <w:szCs w:val="32"/>
        </w:rPr>
        <w:t>候考地点</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初中语文类科目候考地点：A教学楼教室</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体育类科目候考地点：C1教学楼阶梯教室</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小学英语、日语及俄语类科目候考地点：C2教学楼阶梯教室</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高中英语类科目候考地点：D教学楼阶梯教室。</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考生入校后可根据所考科目类别按校园引导指示图到达指定的候考室。</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考生可查看我校校园平面地图了解相关教学楼宇位置，校园平面地图如下：</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p>
    <w:p>
      <w:pPr>
        <w:pStyle w:val="2"/>
        <w:shd w:val="clear" w:color="auto" w:fill="FFFFFF"/>
        <w:spacing w:before="0" w:beforeAutospacing="0" w:after="0" w:afterAutospacing="0" w:line="500" w:lineRule="exact"/>
        <w:jc w:val="both"/>
        <w:rPr>
          <w:rFonts w:cstheme="minorBidi"/>
          <w:color w:val="000000" w:themeColor="text1"/>
          <w:kern w:val="2"/>
          <w:sz w:val="32"/>
          <w:szCs w:val="32"/>
          <w14:textFill>
            <w14:solidFill>
              <w14:schemeClr w14:val="tx1"/>
            </w14:solidFill>
          </w14:textFill>
        </w:rPr>
      </w:pP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-57150</wp:posOffset>
            </wp:positionH>
            <wp:positionV relativeFrom="paragraph">
              <wp:posOffset>463550</wp:posOffset>
            </wp:positionV>
            <wp:extent cx="5268595" cy="7560310"/>
            <wp:effectExtent l="0" t="0" r="8255" b="254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cstate="print"/>
                    <a:stretch>
                      <a:fillRect/>
                    </a:stretch>
                  </pic:blipFill>
                  <pic:spPr>
                    <a:xfrm>
                      <a:off x="0" y="0"/>
                      <a:ext cx="5268595" cy="7560310"/>
                    </a:xfrm>
                    <a:prstGeom prst="rect">
                      <a:avLst/>
                    </a:prstGeom>
                    <a:noFill/>
                    <a:ln>
                      <a:noFill/>
                    </a:ln>
                  </pic:spPr>
                </pic:pic>
              </a:graphicData>
            </a:graphic>
          </wp:anchor>
        </w:drawing>
      </w:r>
    </w:p>
    <w:p>
      <w:pPr>
        <w:pStyle w:val="2"/>
        <w:shd w:val="clear" w:color="auto" w:fill="FFFFFF"/>
        <w:spacing w:before="0" w:beforeAutospacing="0" w:after="0" w:afterAutospacing="0" w:line="500" w:lineRule="exact"/>
        <w:ind w:firstLine="643" w:firstLineChars="200"/>
        <w:jc w:val="both"/>
        <w:rPr>
          <w:color w:val="000000"/>
          <w:sz w:val="32"/>
          <w:szCs w:val="32"/>
        </w:rPr>
      </w:pPr>
      <w:r>
        <w:rPr>
          <w:rStyle w:val="5"/>
          <w:rFonts w:hint="eastAsia"/>
          <w:color w:val="333333"/>
          <w:sz w:val="32"/>
          <w:szCs w:val="32"/>
        </w:rPr>
        <w:t>二、入校要求</w:t>
      </w:r>
    </w:p>
    <w:p>
      <w:pPr>
        <w:spacing w:line="500" w:lineRule="exact"/>
        <w:ind w:firstLine="640" w:firstLineChars="200"/>
        <w:rPr>
          <w:rFonts w:ascii="宋体" w:hAnsi="宋体" w:eastAsia="宋体"/>
          <w:color w:val="000000" w:themeColor="text1"/>
          <w:sz w:val="32"/>
          <w:szCs w:val="32"/>
          <w14:textFill>
            <w14:solidFill>
              <w14:schemeClr w14:val="tx1"/>
            </w14:solidFill>
          </w14:textFill>
        </w:rPr>
      </w:pPr>
      <w:r>
        <w:rPr>
          <w:rFonts w:hint="eastAsia" w:ascii="宋体" w:hAnsi="宋体" w:eastAsia="宋体" w:cs="宋体"/>
          <w:color w:val="333333"/>
          <w:kern w:val="0"/>
          <w:sz w:val="32"/>
          <w:szCs w:val="32"/>
        </w:rPr>
        <w:t>考生须携带准考证、有效居民身份证、天津健康码“绿码”、仅显示“天津市”的通信大数据行程卡“绿卡”、考前48小时内核酸检测阴性证明和填写完整的健康卡、流调表参加考试，以上材料缺一不可。学校将分场所、分步骤逐一核查所有必备参考材料，</w:t>
      </w:r>
      <w:r>
        <w:rPr>
          <w:rFonts w:hint="eastAsia" w:ascii="宋体" w:hAnsi="宋体" w:eastAsia="宋体"/>
          <w:color w:val="000000" w:themeColor="text1"/>
          <w:sz w:val="32"/>
          <w:szCs w:val="32"/>
          <w14:textFill>
            <w14:solidFill>
              <w14:schemeClr w14:val="tx1"/>
            </w14:solidFill>
          </w14:textFill>
        </w:rPr>
        <w:t>缺少任意一项将禁止参加考试。</w:t>
      </w:r>
    </w:p>
    <w:p>
      <w:pPr>
        <w:pStyle w:val="2"/>
        <w:shd w:val="clear" w:color="auto" w:fill="FFFFFF"/>
        <w:spacing w:before="0" w:beforeAutospacing="0" w:after="0" w:afterAutospacing="0" w:line="500" w:lineRule="exact"/>
        <w:ind w:firstLine="643" w:firstLineChars="200"/>
        <w:jc w:val="both"/>
        <w:rPr>
          <w:color w:val="000000"/>
          <w:sz w:val="32"/>
          <w:szCs w:val="32"/>
        </w:rPr>
      </w:pPr>
      <w:r>
        <w:rPr>
          <w:rStyle w:val="5"/>
          <w:rFonts w:hint="eastAsia" w:cs="Calibri"/>
          <w:color w:val="333333"/>
          <w:sz w:val="32"/>
          <w:szCs w:val="32"/>
        </w:rPr>
        <w:t>三</w:t>
      </w:r>
      <w:r>
        <w:rPr>
          <w:rStyle w:val="5"/>
          <w:rFonts w:hint="eastAsia"/>
          <w:color w:val="333333"/>
          <w:sz w:val="32"/>
          <w:szCs w:val="32"/>
        </w:rPr>
        <w:t>、其他注意事项</w:t>
      </w:r>
    </w:p>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1.因疫情防控原因，本考点在考前不对校外考生开放。</w:t>
      </w:r>
    </w:p>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2</w:t>
      </w:r>
      <w:r>
        <w:rPr>
          <w:color w:val="333333"/>
          <w:sz w:val="32"/>
          <w:szCs w:val="32"/>
        </w:rPr>
        <w:t>.</w:t>
      </w:r>
      <w:r>
        <w:rPr>
          <w:rFonts w:hint="eastAsia"/>
          <w:color w:val="333333"/>
          <w:sz w:val="32"/>
          <w:szCs w:val="32"/>
        </w:rPr>
        <w:t>考虑到交通、天气等因素，请各位考生提前出发，以免错过考试时间。建议考生在考试期间绿色出行,</w:t>
      </w:r>
      <w:r>
        <w:rPr>
          <w:rStyle w:val="5"/>
          <w:rFonts w:hint="eastAsia"/>
          <w:color w:val="333333"/>
          <w:sz w:val="32"/>
          <w:szCs w:val="32"/>
        </w:rPr>
        <w:t>尽量选择公共交通</w:t>
      </w:r>
      <w:r>
        <w:rPr>
          <w:rFonts w:hint="eastAsia"/>
          <w:color w:val="333333"/>
          <w:sz w:val="32"/>
          <w:szCs w:val="32"/>
        </w:rPr>
        <w:t>。天津商务职业学院（海河教育园校区）考点位于天津市海河教育园区雅观路23号，考生可以乘坐220路公交车在商务学院（东门）公交站下车即到，或乘坐地铁一号线到李楼站下，然后打车至天津商务职业学院（海河教育园校区）东门即到。</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37C8F"/>
    <w:rsid w:val="0F73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2022-01-06T08:08:00Z</dcterms:created>
  <dc:creator>张小咪(^O^)／</dc:creator>
  <cp:lastModifiedBy>张小咪(^O^)／</cp:lastModifiedBy>
  <dcterms:modified xsi:type="dcterms:W3CDTF">2022-01-06T08:08:54Z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6B21486EF1074963A647B3DB74EBD2B9</vt:lpwstr>
  </property>
</Properties>
</file>