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22" w:rsidRPr="00955B97" w:rsidRDefault="00955B9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bookmarkStart w:id="0" w:name="_GoBack"/>
      <w:r w:rsidRPr="00955B97"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  <w:lang w:bidi="ar"/>
        </w:rPr>
        <w:t>资格考试报名常见问题解答</w:t>
      </w:r>
    </w:p>
    <w:bookmarkEnd w:id="0"/>
    <w:p w:rsidR="00AE0822" w:rsidRDefault="00AE0822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考生注册时，提示证件号码已存在。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若提示证件号码已注册，请确认是否已注册，可通过“找回用户名或密码”功能进行查询，若没有注册信息可以继续注册。若查询到注册信息，忘记密码问题或手机号码已更换，需要找回密码的，请查看问题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E0822" w:rsidRDefault="00AE0822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2.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考生注册时，提示手机号已注册？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若提示手机号码已注册，更换其他手机号码进行注册。</w:t>
      </w:r>
    </w:p>
    <w:p w:rsidR="00AE0822" w:rsidRDefault="00AE0822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3.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考生注册时，手机收不到验证码？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经咨询，手机本身信息拦截或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携号转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网手机收不到验证短信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若未进行信息拦截，更换一下手机号进行注册。注册成功可以登录系统，点击页面右上方“信息维护”，点击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更换手机号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按钮，更换手机号码。</w:t>
      </w:r>
    </w:p>
    <w:p w:rsidR="00AE0822" w:rsidRDefault="00AE0822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4.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忘记用户名及密码该如何处理？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系统提供两种找回方式：验证预留安全问题和验证手机。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如果上述两种方式无法找回，请到沈阳市考试院要求查询用户密保问题或重置密码，重置密码为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111111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lastRenderedPageBreak/>
        <w:t>5.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注册信息中姓名及证件号码如何修改？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用户注册成功后，则不允许修改姓名及证件号码，如果注册姓名或证件号码有误，考生可重新注册。如果姓名有误，重新注册时，系统会提示</w:t>
      </w: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“该证件号码在注册库中已经存在”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，点击“确定”继续操作即可。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注册时要注意：姓名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证件号要确保唯一性；注册的用户名具有唯一性；绑定手机号码，一个手机号只能绑定一个用户。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6.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学历学位信息自动核查的范围是？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学历信息在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2002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年至今的大专以上（含大专），学位信息在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2008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月至今范围内的，可在线自动核查。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学位等相关信息数据在线自动核查未通过的报考人员，请上传学历或学位证书相关材料后，持身份证、毕业证、学位证、《教育部学历证书电子注册备案表》或《学历认证报告》等相关证明材料到现场进行现场核查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外学历、学位请上传教育部留学服务中心认证的认证书；无法在线核查的报考人员，并持身份证、学历、学位证书原件及教育部留学服务中心认证的认证书，到现场进行现场核查。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7.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如何查看学历学位信息是否通过？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考生登录系统后，在页面左侧点击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学历学位信息维护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，可以进行学历学位核查结果查看。</w:t>
      </w:r>
    </w:p>
    <w:p w:rsidR="00AE0822" w:rsidRDefault="00AE0822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8.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学历或学位</w:t>
      </w:r>
      <w:proofErr w:type="gramStart"/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在学信网</w:t>
      </w:r>
      <w:proofErr w:type="gramEnd"/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可以查到，在报名系统中提示未通过核查，如何处理？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请检查学历或学位信息是否填报正确，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若检查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无误，可继续填写报名信息，并按报名地考试组织机构有关规定接受现场核查，核查通过后方可交费。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现场核查通过后，报考该项考试时均显示为核查已通过。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(3)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学历学位信息最多可添加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条，添加后不能删除，请不要重复添加信息。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9.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学历或学位证书的姓名和现在的姓名不一致的，如何处理？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若学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历或学位证书的姓名和现在的姓名不一致的，按报名地考试组织机构有关规定，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接受现场核查。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10.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无学位的人员是否需要添加学位信息？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无学位人员学位信息不需要填写。无需点击“添加学位信息”按钮。若已添加未通过的，不影响报名，报名时，按报名地考试组织机构有关规定，接受现场核查。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11.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填写报名信息时，点击按钮或者下拉框等没有反应？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因为系统升级了新版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UI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，不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兼容低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版本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IE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浏览器，推荐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使用谷歌浏览器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360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浏览器的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速模式、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搜狗浏览器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的高速模式或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IE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浏览器（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以上版本）访问系统。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12.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选择“不采用告知承诺制”报考，应注意哪些？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选择“不采用告知承诺制”报考，按要求上传所需材料、确认报名信息、打印《报名表》，持身份证件、相关材料原件及报名表到现场核查。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(2)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选择“不采用告知承诺制”报考后，不能再选择“采用告知承诺制方式”。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13.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申请撤回采用告知承诺制后，报名核查流程是什么？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承诺后，可在未缴费且报名截止前撤回承诺，报名按现场核查报名流程办理；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报考人员撤回承诺的，本年度此项考试中不再适用告知承诺制。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14.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老考生已通过的科目如何能查看到？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老考生如果有通过的科目，会在填写报名信息时自动加载。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15.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老考生进行报名，若修改了报考级别，则系统是按新考生还是老考生处理？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老考生不改级别还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是按老考生处理，改了级别就按新考生处理。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16.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通过所有专业科目的老考生，报名时能否变更专业？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对于上述情况，报名时则不允许变更专业。即，公共科目通过，专业科目没有通过的考生可以修改专业，如果专业科目通过，是不允许修改专业的。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17.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报考过程中如果发现自己的信息有填错的地方，怎么修改？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辽宁省设定在“审核后不允许修改”，请考生慎重报考确认信息。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①报名信息确认前：报考人员在报名信息确认前可以修改报名信息，在报考状态流程图点击“信息修改”或左侧菜单“修改报名信息”进行操作。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②确认修改信息的情况。报考该类设置的考生，在确认报名信息或资格审核后，左侧菜单会出现“修改报名信息”选项，考生点击“修改报名信息”或右侧流程图中“信息维护”，可自行修改报名信息。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③审核后修改信息。需要持身份证件到报名所在地市人事考试机构进行修改，修改后需要重新进行资格审核。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缴费成功后，报考人员不允许修改报名点、报考级别、报考科目等报考信息。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lastRenderedPageBreak/>
        <w:t>18.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网上支付问题？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①支付时无法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跳转到第三方支付平台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请临时关闭电脑安装的金山毒霸、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腾讯安全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管家、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360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等安全软件。同时请按以下步骤操作：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IE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浏览器菜单栏——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工具选项下“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Internet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选项”——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隐私选项卡中将倒数第二个复选框“启用弹出窗口阻止程序”取消勾选，最后点击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确定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②使用支付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宝支付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时，点击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进入支付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宝系统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出现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错误代码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ILLEGAL_EXTERFACE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支付宝公司解释发生这种情况原因是报名电脑相关设置引起的，报考人员可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换其它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电脑登录系统进行支付。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19.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网上支付成功，但报名系统显示还未完成报名？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可能是由于网络或其他因素导致支付平台支付信息无法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返回网报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系统。首先请核查银行卡是否扣款成功，若确实扣款，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请记录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支付订单号，联系当地人事考试机构进行支付记录核对。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955B97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20.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职业资格考试报名平台有哪些？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中国人事考试网（报考国家级的考试），辽宁省人事考试网。</w:t>
      </w:r>
    </w:p>
    <w:p w:rsidR="00AE0822" w:rsidRDefault="00955B97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AE0822" w:rsidRDefault="00AE082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E0822">
      <w:footerReference w:type="default" r:id="rId7"/>
      <w:pgSz w:w="11906" w:h="16838"/>
      <w:pgMar w:top="2041" w:right="1361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5B97">
      <w:r>
        <w:separator/>
      </w:r>
    </w:p>
  </w:endnote>
  <w:endnote w:type="continuationSeparator" w:id="0">
    <w:p w:rsidR="00000000" w:rsidRDefault="009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22" w:rsidRDefault="00955B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822" w:rsidRDefault="00955B97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AE0822" w:rsidRDefault="00955B97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5B97">
      <w:r>
        <w:separator/>
      </w:r>
    </w:p>
  </w:footnote>
  <w:footnote w:type="continuationSeparator" w:id="0">
    <w:p w:rsidR="00000000" w:rsidRDefault="0095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E"/>
    <w:rsid w:val="000C2CB4"/>
    <w:rsid w:val="003360FC"/>
    <w:rsid w:val="00955B97"/>
    <w:rsid w:val="00AE0822"/>
    <w:rsid w:val="00BD687E"/>
    <w:rsid w:val="00D36004"/>
    <w:rsid w:val="04010938"/>
    <w:rsid w:val="043F39C1"/>
    <w:rsid w:val="0CF07A1F"/>
    <w:rsid w:val="198A6AB4"/>
    <w:rsid w:val="1AA628E0"/>
    <w:rsid w:val="203B6BFE"/>
    <w:rsid w:val="30CC3FBF"/>
    <w:rsid w:val="33001701"/>
    <w:rsid w:val="392E4C01"/>
    <w:rsid w:val="3D9453FF"/>
    <w:rsid w:val="43497C5C"/>
    <w:rsid w:val="45321BEC"/>
    <w:rsid w:val="47902036"/>
    <w:rsid w:val="55D71EBB"/>
    <w:rsid w:val="5A361EC2"/>
    <w:rsid w:val="617C7473"/>
    <w:rsid w:val="69DA57C3"/>
    <w:rsid w:val="725320B1"/>
    <w:rsid w:val="734B1ED4"/>
    <w:rsid w:val="75035633"/>
    <w:rsid w:val="7C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1649785-D4B1-43A3-9F53-9ABF3F9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王吾游</cp:lastModifiedBy>
  <cp:revision>4</cp:revision>
  <dcterms:created xsi:type="dcterms:W3CDTF">2021-07-26T01:30:00Z</dcterms:created>
  <dcterms:modified xsi:type="dcterms:W3CDTF">2021-08-02T08:44:00Z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