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eastAsia="zh-CN"/>
        </w:rPr>
      </w:pPr>
      <w:bookmarkStart w:id="0" w:name="_GoBack"/>
      <w:r>
        <w:rPr>
          <w:rFonts w:hint="eastAsia" w:ascii="黑体" w:hAnsi="黑体" w:eastAsia="黑体" w:cs="黑体"/>
          <w:lang w:eastAsia="zh-CN"/>
        </w:rPr>
        <w:t>附件</w:t>
      </w:r>
    </w:p>
    <w:bookmarkEnd w:id="0"/>
    <w:p/>
    <w:p/>
    <w:p>
      <w:r>
        <mc:AlternateContent>
          <mc:Choice Requires="wps">
            <w:drawing>
              <wp:anchor distT="0" distB="0" distL="114300" distR="114300" simplePos="0" relativeHeight="251662336" behindDoc="0" locked="0" layoutInCell="1" allowOverlap="1">
                <wp:simplePos x="0" y="0"/>
                <wp:positionH relativeFrom="column">
                  <wp:posOffset>4815840</wp:posOffset>
                </wp:positionH>
                <wp:positionV relativeFrom="paragraph">
                  <wp:posOffset>290195</wp:posOffset>
                </wp:positionV>
                <wp:extent cx="1203960" cy="911225"/>
                <wp:effectExtent l="0" t="0" r="0" b="0"/>
                <wp:wrapNone/>
                <wp:docPr id="3" name="文本框 4"/>
                <wp:cNvGraphicFramePr/>
                <a:graphic xmlns:a="http://schemas.openxmlformats.org/drawingml/2006/main">
                  <a:graphicData uri="http://schemas.microsoft.com/office/word/2010/wordprocessingShape">
                    <wps:wsp>
                      <wps:cNvSpPr txBox="1"/>
                      <wps:spPr>
                        <a:xfrm>
                          <a:off x="0" y="0"/>
                          <a:ext cx="1203960" cy="911225"/>
                        </a:xfrm>
                        <a:prstGeom prst="rect">
                          <a:avLst/>
                        </a:prstGeom>
                        <a:noFill/>
                        <a:ln>
                          <a:noFill/>
                        </a:ln>
                      </wps:spPr>
                      <wps:txbx>
                        <w:txbxContent>
                          <w:p>
                            <w:pPr>
                              <w:snapToGrid w:val="0"/>
                              <w:rPr>
                                <w:rFonts w:ascii="方正小标宋简体" w:eastAsia="方正小标宋简体"/>
                                <w:color w:val="FF0000"/>
                                <w:w w:val="80"/>
                                <w:sz w:val="90"/>
                                <w:szCs w:val="90"/>
                              </w:rPr>
                            </w:pPr>
                            <w:r>
                              <w:rPr>
                                <w:rFonts w:hint="eastAsia" w:ascii="方正小标宋简体" w:eastAsia="方正小标宋简体"/>
                                <w:color w:val="FF0000"/>
                                <w:w w:val="80"/>
                                <w:sz w:val="90"/>
                                <w:szCs w:val="90"/>
                              </w:rPr>
                              <w:t>文件</w:t>
                            </w:r>
                          </w:p>
                        </w:txbxContent>
                      </wps:txbx>
                      <wps:bodyPr upright="1"/>
                    </wps:wsp>
                  </a:graphicData>
                </a:graphic>
              </wp:anchor>
            </w:drawing>
          </mc:Choice>
          <mc:Fallback>
            <w:pict>
              <v:shape id="文本框 4" o:spid="_x0000_s1026" o:spt="202" type="#_x0000_t202" style="position:absolute;left:0pt;margin-left:379.2pt;margin-top:22.85pt;height:71.75pt;width:94.8pt;z-index:251662336;mso-width-relative:page;mso-height-relative:page;" filled="f" stroked="f" coordsize="21600,21600" o:gfxdata="UEsDBAoAAAAAAIdO4kAAAAAAAAAAAAAAAAAEAAAAZHJzL1BLAwQUAAAACACHTuJAp+m30dgAAAAK&#10;AQAADwAAAGRycy9kb3ducmV2LnhtbE2Py07DMBBF90j8gzVI3VG7VUKTEKcLENtWlIfEzo2nSUQ8&#10;jmK3Sf+eYQXL0Rzde265nV0vLjiGzpOG1VKBQKq97ajR8P72cp+BCNGQNb0n1HDFANvq9qY0hfUT&#10;veLlEBvBIRQKo6GNcSikDHWLzoSlH5D4d/KjM5HPsZF2NBOHu16ulXqQznTEDa0Z8KnF+vtwdho+&#10;dqevz0Ttm2eXDpOflSSXS60Xdyv1CCLiHP9g+NVndajY6ejPZIPoNWzSLGFUQ5JuQDCQJxmPOzKZ&#10;5WuQVSn/T6h+AFBLAwQUAAAACACHTuJAH6kK6o8BAAAAAwAADgAAAGRycy9lMm9Eb2MueG1srVJL&#10;TiMxEN0jcQfLe+JOwyDSSgcJIdigAQk4gOO205baLss26c4FmBvMig17zpVzUHZC+O0Qm7JdVX5+&#10;75Wnp4PpyFL6oMHWdDwqKJFWQKPtoqb3dxcHJ5SEyG3DO7CypisZ6Olsf2/au0qW0ELXSE8QxIaq&#10;dzVtY3QVY0G00vAwAictFhV4wyMe/YI1nveIbjpWFsUx68E3zoOQIWD2fFOks4yvlBTxWqkgI+lq&#10;itxijj7HeYpsNuXVwnPXarGlwX/AwnBt8dEd1DmPnDx4/Q3KaOEhgIojAYaBUlrIrAHVjIsvam5b&#10;7mTWguYEt7Mp/B6s+Lu88UQ3NT2kxHKDI1r//7d+elk/P5KjZE/vQoVdtw774nAGA475LR8wmVQP&#10;ypu0oh6CdTR6tTNXDpGIdKksDifHWBJYm4zHZfknwbD3286HeCnBkLSpqcfhZU/58irETetbS3rM&#10;woXuujzAzn5KIGbKsER9QzHt4jAftnrm0KxQzoPzetHiU1lQbkebM6ftl0hz/HjOoO8fd/YK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p+m30dgAAAAKAQAADwAAAAAAAAABACAAAAAiAAAAZHJzL2Rv&#10;d25yZXYueG1sUEsBAhQAFAAAAAgAh07iQB+pCuqPAQAAAAMAAA4AAAAAAAAAAQAgAAAAJwEAAGRy&#10;cy9lMm9Eb2MueG1sUEsFBgAAAAAGAAYAWQEAACgFAAAAAA==&#10;">
                <v:fill on="f" focussize="0,0"/>
                <v:stroke on="f"/>
                <v:imagedata o:title=""/>
                <o:lock v:ext="edit" aspectratio="f"/>
                <v:textbox>
                  <w:txbxContent>
                    <w:p>
                      <w:pPr>
                        <w:snapToGrid w:val="0"/>
                        <w:rPr>
                          <w:rFonts w:ascii="方正小标宋简体" w:eastAsia="方正小标宋简体"/>
                          <w:color w:val="FF0000"/>
                          <w:w w:val="80"/>
                          <w:sz w:val="90"/>
                          <w:szCs w:val="90"/>
                        </w:rPr>
                      </w:pPr>
                      <w:r>
                        <w:rPr>
                          <w:rFonts w:hint="eastAsia" w:ascii="方正小标宋简体" w:eastAsia="方正小标宋简体"/>
                          <w:color w:val="FF0000"/>
                          <w:w w:val="80"/>
                          <w:sz w:val="90"/>
                          <w:szCs w:val="90"/>
                        </w:rPr>
                        <w:t>文件</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12700</wp:posOffset>
                </wp:positionV>
                <wp:extent cx="5016500" cy="72898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016500" cy="728980"/>
                        </a:xfrm>
                        <a:prstGeom prst="rect">
                          <a:avLst/>
                        </a:prstGeom>
                        <a:noFill/>
                        <a:ln>
                          <a:noFill/>
                        </a:ln>
                      </wps:spPr>
                      <wps:txbx>
                        <w:txbxContent>
                          <w:p>
                            <w:pPr>
                              <w:snapToGrid w:val="0"/>
                              <w:rPr>
                                <w:rFonts w:ascii="方正小标宋简体" w:eastAsia="方正小标宋简体"/>
                                <w:color w:val="FF0000"/>
                                <w:sz w:val="72"/>
                                <w:szCs w:val="72"/>
                              </w:rPr>
                            </w:pPr>
                            <w:r>
                              <w:rPr>
                                <w:rFonts w:hint="eastAsia" w:ascii="方正小标宋简体" w:eastAsia="方正小标宋简体"/>
                                <w:color w:val="FF0000"/>
                                <w:spacing w:val="1"/>
                                <w:w w:val="52"/>
                                <w:kern w:val="0"/>
                                <w:sz w:val="72"/>
                                <w:szCs w:val="72"/>
                                <w:fitText w:val="7616" w:id="0"/>
                              </w:rPr>
                              <w:t>福建省统计专业职务资格考试领导小组办公</w:t>
                            </w:r>
                            <w:r>
                              <w:rPr>
                                <w:rFonts w:hint="eastAsia" w:ascii="方正小标宋简体" w:eastAsia="方正小标宋简体"/>
                                <w:color w:val="FF0000"/>
                                <w:spacing w:val="77"/>
                                <w:w w:val="52"/>
                                <w:kern w:val="0"/>
                                <w:sz w:val="72"/>
                                <w:szCs w:val="72"/>
                                <w:fitText w:val="7616" w:id="0"/>
                              </w:rPr>
                              <w:t>室</w:t>
                            </w:r>
                          </w:p>
                        </w:txbxContent>
                      </wps:txbx>
                      <wps:bodyPr upright="1"/>
                    </wps:wsp>
                  </a:graphicData>
                </a:graphic>
              </wp:anchor>
            </w:drawing>
          </mc:Choice>
          <mc:Fallback>
            <w:pict>
              <v:shape id="文本框 2" o:spid="_x0000_s1026" o:spt="202" type="#_x0000_t202" style="position:absolute;left:0pt;margin-left:-7.9pt;margin-top:1pt;height:57.4pt;width:395pt;z-index:251660288;mso-width-relative:page;mso-height-relative:page;" filled="f" stroked="f" coordsize="21600,21600" o:gfxdata="UEsDBAoAAAAAAIdO4kAAAAAAAAAAAAAAAAAEAAAAZHJzL1BLAwQUAAAACACHTuJASMirA9YAAAAJ&#10;AQAADwAAAGRycy9kb3ducmV2LnhtbE2PS0/DMBCE70j9D9YicWvtRH2mcXoo4gqiDyRubrxNIuJ1&#10;FLtN+PcsJziOZjTzTb4bXSvu2IfGk4ZkpkAgld42VGk4HV+maxAhGrKm9YQavjHArpg85CazfqB3&#10;vB9iJbiEQmY01DF2mZShrNGZMPMdEntX3zsTWfaVtL0ZuNy1MlVqKZ1piBdq0+G+xvLrcHMazq/X&#10;z4+5eque3aIb/KgkuY3U+ukxUVsQEcf4F4ZffEaHgpku/kY2iFbDNFkwetSQ8iX2V6t5CuLCwWS5&#10;Blnk8v+D4gdQSwMEFAAAAAgAh07iQHy72q+NAQAAAAMAAA4AAABkcnMvZTJvRG9jLnhtbK1SS07D&#10;MBDdI3EHy3vqtBJQoqaVUAUbBEjAAVzHbizFHss2TXoBuAErNuw5V8/B2JTy2yE2E3vm5c28N57M&#10;etOSlfRBg63ocFBQIq2AWttlRe9uzw7GlITIbc1bsLKiaxnobLq/N+lcKUfQQFtLT5DEhrJzFW1i&#10;dCVjQTTS8DAAJy0WFXjDI179ktWed8huWjYqiiPWga+dByFDwOz8vUinmV8pKeKVUkFG0lYUZ4s5&#10;+hwXKbLphJdLz12jxXYM/ocpDNcWm+6o5jxycu/1LyqjhYcAKg4EGAZKaSGzBlQzLH6ouWm4k1kL&#10;mhPczqbwf7TicnXtia5xd5RYbnBFm6fHzfPr5uWBjJI9nQslom4c4mJ/Cn2CbvMBk0l1r7xJX9RD&#10;sI5Gr3fmyj4SgcnDYnh0WGBJYO14ND4ZZ/fZ59/Oh3guwZB0qKjH5WVP+eoiROyI0A9IambhTLdt&#10;XmBrvyUQmDIsjf4+YjrFftFv515AvUY5987rZYOtsqAMR5tzo+2TSHv8es+knw93+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IyKsD1gAAAAkBAAAPAAAAAAAAAAEAIAAAACIAAABkcnMvZG93bnJl&#10;di54bWxQSwECFAAUAAAACACHTuJAfLvar40BAAAAAwAADgAAAAAAAAABACAAAAAlAQAAZHJzL2Uy&#10;b0RvYy54bWxQSwUGAAAAAAYABgBZAQAAJAUAAAAA&#10;">
                <v:fill on="f" focussize="0,0"/>
                <v:stroke on="f"/>
                <v:imagedata o:title=""/>
                <o:lock v:ext="edit" aspectratio="f"/>
                <v:textbox>
                  <w:txbxContent>
                    <w:p>
                      <w:pPr>
                        <w:snapToGrid w:val="0"/>
                        <w:rPr>
                          <w:rFonts w:ascii="方正小标宋简体" w:eastAsia="方正小标宋简体"/>
                          <w:color w:val="FF0000"/>
                          <w:sz w:val="72"/>
                          <w:szCs w:val="72"/>
                        </w:rPr>
                      </w:pPr>
                      <w:r>
                        <w:rPr>
                          <w:rFonts w:hint="eastAsia" w:ascii="方正小标宋简体" w:eastAsia="方正小标宋简体"/>
                          <w:color w:val="FF0000"/>
                          <w:spacing w:val="1"/>
                          <w:w w:val="52"/>
                          <w:kern w:val="0"/>
                          <w:sz w:val="72"/>
                          <w:szCs w:val="72"/>
                          <w:fitText w:val="7616" w:id="1"/>
                        </w:rPr>
                        <w:t>福建省统计专业职务资格考试领导小组办公</w:t>
                      </w:r>
                      <w:r>
                        <w:rPr>
                          <w:rFonts w:hint="eastAsia" w:ascii="方正小标宋简体" w:eastAsia="方正小标宋简体"/>
                          <w:color w:val="FF0000"/>
                          <w:spacing w:val="77"/>
                          <w:w w:val="52"/>
                          <w:kern w:val="0"/>
                          <w:sz w:val="72"/>
                          <w:szCs w:val="72"/>
                          <w:fitText w:val="7616" w:id="1"/>
                        </w:rPr>
                        <w:t>室</w:t>
                      </w:r>
                    </w:p>
                  </w:txbxContent>
                </v:textbox>
              </v:shape>
            </w:pict>
          </mc:Fallback>
        </mc:AlternateContent>
      </w:r>
    </w:p>
    <w:p>
      <w:pPr>
        <w:jc w:val="center"/>
        <w:rPr>
          <w:rFonts w:ascii="仿宋_GB2312" w:hAnsi="宋体" w:eastAsia="仿宋_GB2312"/>
        </w:rPr>
      </w:pPr>
    </w:p>
    <w:p>
      <w:pPr>
        <w:jc w:val="center"/>
        <w:rPr>
          <w:rFonts w:ascii="仿宋_GB2312" w:hAnsi="宋体" w:eastAsia="仿宋_GB2312"/>
        </w:rPr>
      </w:pPr>
      <w: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1905</wp:posOffset>
                </wp:positionV>
                <wp:extent cx="4966970" cy="728980"/>
                <wp:effectExtent l="0" t="0" r="0" b="0"/>
                <wp:wrapNone/>
                <wp:docPr id="2" name="文本框 3"/>
                <wp:cNvGraphicFramePr/>
                <a:graphic xmlns:a="http://schemas.openxmlformats.org/drawingml/2006/main">
                  <a:graphicData uri="http://schemas.microsoft.com/office/word/2010/wordprocessingShape">
                    <wps:wsp>
                      <wps:cNvSpPr txBox="1"/>
                      <wps:spPr>
                        <a:xfrm>
                          <a:off x="0" y="0"/>
                          <a:ext cx="4966970" cy="728980"/>
                        </a:xfrm>
                        <a:prstGeom prst="rect">
                          <a:avLst/>
                        </a:prstGeom>
                        <a:noFill/>
                        <a:ln>
                          <a:noFill/>
                        </a:ln>
                      </wps:spPr>
                      <wps:txbx>
                        <w:txbxContent>
                          <w:p>
                            <w:pPr>
                              <w:snapToGrid w:val="0"/>
                              <w:rPr>
                                <w:rFonts w:ascii="方正小标宋简体" w:eastAsia="方正小标宋简体"/>
                                <w:color w:val="FF0000"/>
                                <w:w w:val="66"/>
                                <w:sz w:val="72"/>
                                <w:szCs w:val="72"/>
                              </w:rPr>
                            </w:pPr>
                            <w:r>
                              <w:rPr>
                                <w:rFonts w:hint="eastAsia" w:ascii="方正小标宋简体" w:eastAsia="方正小标宋简体"/>
                                <w:color w:val="FF0000"/>
                                <w:spacing w:val="1"/>
                                <w:w w:val="88"/>
                                <w:kern w:val="0"/>
                                <w:sz w:val="72"/>
                                <w:szCs w:val="72"/>
                                <w:fitText w:val="7616" w:id="2"/>
                              </w:rPr>
                              <w:t>福建省职称改革工作办公</w:t>
                            </w:r>
                            <w:r>
                              <w:rPr>
                                <w:rFonts w:hint="eastAsia" w:ascii="方正小标宋简体" w:eastAsia="方正小标宋简体"/>
                                <w:color w:val="FF0000"/>
                                <w:spacing w:val="17"/>
                                <w:w w:val="88"/>
                                <w:kern w:val="0"/>
                                <w:sz w:val="72"/>
                                <w:szCs w:val="72"/>
                                <w:fitText w:val="7616" w:id="2"/>
                              </w:rPr>
                              <w:t>室</w:t>
                            </w:r>
                          </w:p>
                        </w:txbxContent>
                      </wps:txbx>
                      <wps:bodyPr upright="1"/>
                    </wps:wsp>
                  </a:graphicData>
                </a:graphic>
              </wp:anchor>
            </w:drawing>
          </mc:Choice>
          <mc:Fallback>
            <w:pict>
              <v:shape id="文本框 3" o:spid="_x0000_s1026" o:spt="202" type="#_x0000_t202" style="position:absolute;left:0pt;margin-left:-7.9pt;margin-top:0.15pt;height:57.4pt;width:391.1pt;z-index:251661312;mso-width-relative:page;mso-height-relative:page;" filled="f" stroked="f" coordsize="21600,21600" o:gfxdata="UEsDBAoAAAAAAIdO4kAAAAAAAAAAAAAAAAAEAAAAZHJzL1BLAwQUAAAACACHTuJAIP1+CtUAAAAI&#10;AQAADwAAAGRycy9kb3ducmV2LnhtbE2PwU7DMBBE70j8g7VI3Frb0AQIcXoAcQVRoFJvbrxNIuJ1&#10;FLtN+HuWEz2OZjTzplzPvhcnHGMXyIBeKhBIdXAdNQY+P14W9yBisuRsHwgN/GCEdXV5UdrChYne&#10;8bRJjeASioU10KY0FFLGukVv4zIMSOwdwuhtYjk20o124nLfyxulcultR7zQ2gGfWqy/N0dv4Ov1&#10;sNuu1Fvz7LNhCrOS5B+kMddXWj2CSDin/zD84TM6VMy0D0dyUfQGFjpj9GTgFgTbd3m+ArHnnM40&#10;yKqU5weqX1BLAwQUAAAACACHTuJAczx+R48BAAAAAwAADgAAAGRycy9lMm9Eb2MueG1srVJLTsMw&#10;EN0jcQfLe+pSUGmjppVQBRsESMABXMduLMUeyzZNegG4ASs27DlXz8HYlPLbITYTe+blzbw3nsw6&#10;05CV9EGDLelhr0+JtAIqbZclvbs9OxhREiK3FW/AypKuZaCz6f7epHWFHEANTSU9QRIbitaVtI7R&#10;FYwFUUvDQw+ctFhU4A2PePVLVnneIrtp2KDfH7IWfOU8CBkCZufvRTrN/EpJEa+UCjKSpqQ4W8zR&#10;57hIkU0nvFh67mottmPwP0xhuLbYdEc155GTe69/URktPARQsSfAMFBKC5k1oJrD/g81NzV3MmtB&#10;c4Lb2RT+j1Zcrq490VVJB5RYbnBFm6fHzfPr5uWBHCV7WhcKRN04xMXuFDpc80c+YDKp7pQ36Yt6&#10;CNbR6PXOXNlFIjB5PB4OxydYElg7GYzGo+w++/zb+RDPJRiSDiX1uLzsKV9dhIiTIPQDkppZONNN&#10;kxfY2G8JBKYMS6O/j5hOsVt0Wz0LqNYo5955vayxVRaU4WhzbrR9EmmPX++Z9PPhTt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IP1+CtUAAAAIAQAADwAAAAAAAAABACAAAAAiAAAAZHJzL2Rvd25y&#10;ZXYueG1sUEsBAhQAFAAAAAgAh07iQHM8fkePAQAAAAMAAA4AAAAAAAAAAQAgAAAAJAEAAGRycy9l&#10;Mm9Eb2MueG1sUEsFBgAAAAAGAAYAWQEAACUFAAAAAA==&#10;">
                <v:fill on="f" focussize="0,0"/>
                <v:stroke on="f"/>
                <v:imagedata o:title=""/>
                <o:lock v:ext="edit" aspectratio="f"/>
                <v:textbox>
                  <w:txbxContent>
                    <w:p>
                      <w:pPr>
                        <w:snapToGrid w:val="0"/>
                        <w:rPr>
                          <w:rFonts w:ascii="方正小标宋简体" w:eastAsia="方正小标宋简体"/>
                          <w:color w:val="FF0000"/>
                          <w:w w:val="66"/>
                          <w:sz w:val="72"/>
                          <w:szCs w:val="72"/>
                        </w:rPr>
                      </w:pPr>
                      <w:r>
                        <w:rPr>
                          <w:rFonts w:hint="eastAsia" w:ascii="方正小标宋简体" w:eastAsia="方正小标宋简体"/>
                          <w:color w:val="FF0000"/>
                          <w:spacing w:val="1"/>
                          <w:w w:val="88"/>
                          <w:kern w:val="0"/>
                          <w:sz w:val="72"/>
                          <w:szCs w:val="72"/>
                          <w:fitText w:val="7616" w:id="3"/>
                        </w:rPr>
                        <w:t>福建省职称改革工作办公</w:t>
                      </w:r>
                      <w:r>
                        <w:rPr>
                          <w:rFonts w:hint="eastAsia" w:ascii="方正小标宋简体" w:eastAsia="方正小标宋简体"/>
                          <w:color w:val="FF0000"/>
                          <w:spacing w:val="17"/>
                          <w:w w:val="88"/>
                          <w:kern w:val="0"/>
                          <w:sz w:val="72"/>
                          <w:szCs w:val="72"/>
                          <w:fitText w:val="7616" w:id="3"/>
                        </w:rPr>
                        <w:t>室</w:t>
                      </w:r>
                    </w:p>
                  </w:txbxContent>
                </v:textbox>
              </v:shape>
            </w:pict>
          </mc:Fallback>
        </mc:AlternateContent>
      </w: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ascii="仿宋_GB2312" w:hAnsi="宋体" w:eastAsia="仿宋_GB2312"/>
        </w:rPr>
      </w:pPr>
      <w:r>
        <w:rPr>
          <w:rFonts w:hint="eastAsia" w:ascii="仿宋_GB2312" w:hAnsi="宋体" w:eastAsia="仿宋_GB2312"/>
        </w:rPr>
        <w:t>闽统资考〔20</w:t>
      </w:r>
      <w:r>
        <w:rPr>
          <w:rFonts w:hint="eastAsia" w:ascii="仿宋_GB2312" w:hAnsi="宋体" w:eastAsia="仿宋_GB2312"/>
          <w:lang w:val="en-US" w:eastAsia="zh-CN"/>
        </w:rPr>
        <w:t>21</w:t>
      </w:r>
      <w:r>
        <w:rPr>
          <w:rFonts w:hint="eastAsia" w:ascii="仿宋_GB2312" w:hAnsi="宋体" w:eastAsia="仿宋_GB2312"/>
        </w:rPr>
        <w:t>〕</w:t>
      </w:r>
      <w:r>
        <w:rPr>
          <w:rFonts w:hint="eastAsia" w:ascii="仿宋_GB2312" w:hAnsi="宋体" w:eastAsia="仿宋_GB2312"/>
          <w:lang w:val="en-US" w:eastAsia="zh-CN"/>
        </w:rPr>
        <w:t xml:space="preserve">1 </w:t>
      </w:r>
      <w:r>
        <w:rPr>
          <w:rFonts w:hint="eastAsia" w:ascii="仿宋_GB2312" w:hAnsi="宋体" w:eastAsia="仿宋_GB2312"/>
        </w:rPr>
        <w:t>号</w:t>
      </w:r>
    </w:p>
    <w:p>
      <w:r>
        <w:rPr>
          <w:rFonts w:ascii="仿宋_GB2312" w:hAnsi="宋体" w:eastAsia="仿宋_GB2312"/>
          <w:kern w:val="10"/>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120650</wp:posOffset>
                </wp:positionV>
                <wp:extent cx="5615940" cy="0"/>
                <wp:effectExtent l="0" t="17145" r="3810" b="20955"/>
                <wp:wrapNone/>
                <wp:docPr id="4" name="直线 5"/>
                <wp:cNvGraphicFramePr/>
                <a:graphic xmlns:a="http://schemas.openxmlformats.org/drawingml/2006/main">
                  <a:graphicData uri="http://schemas.microsoft.com/office/word/2010/wordprocessingShape">
                    <wps:wsp>
                      <wps:cNvCnPr/>
                      <wps:spPr>
                        <a:xfrm flipV="1">
                          <a:off x="0" y="0"/>
                          <a:ext cx="5615940"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3pt;margin-top:9.5pt;height:0pt;width:442.2pt;z-index:251663360;mso-width-relative:page;mso-height-relative:page;" filled="f" stroked="t" coordsize="21600,21600" o:gfxdata="UEsDBAoAAAAAAIdO4kAAAAAAAAAAAAAAAAAEAAAAZHJzL1BLAwQUAAAACACHTuJANg5s+9YAAAAI&#10;AQAADwAAAGRycy9kb3ducmV2LnhtbE2PQU/DMAyF70j8h8hI3LZkCI2uNJ0Eoic4wIoYx6w1bUTj&#10;VEnWjn+PEQc4WX7Pev5esT25QUwYovWkYbVUIJAa31rqNLzW1SIDEZOh1gyeUMMXRtiW52eFyVs/&#10;0wtOu9QJDqGYGw19SmMuZWx6dCYu/YjE3ocPziReQyfbYGYOd4O8UmotnbHEH3oz4n2Pzefu6DQ8&#10;PFZPtar3wY53Fb7bac7e5metLy9W6hZEwlP6O4YffEaHkpkO/khtFIOGxZqrJNY3PNnPbrJrEIdf&#10;QZaF/F+g/AZQSwMEFAAAAAgAh07iQEESs2fZAQAAmAMAAA4AAABkcnMvZTJvRG9jLnhtbK1TS44T&#10;MRDdI3EHy3vSSUhGTCudWUwIGwQjMbCv+NNtyT+5POnkLFyDFRuOM9eg7GTCb4MQvSiVXeVX9V5V&#10;r24OzrK9SmiC7/hsMuVMeRGk8X3HP95vX7ziDDN4CTZ41fGjQn6zfv5sNcZWzcMQrFSJEYjHdowd&#10;H3KObdOgGJQDnISoPAV1SA4yHVPfyAQjoTvbzKfTq2YMScYUhEKk280pyNcVX2sl8nutUWVmO069&#10;5WpTtbtim/UK2j5BHIw4twH/0IUD46noBWoDGdhDMn9AOSNSwKDzRATXBK2NUJUDsZlNf2PzYYCo&#10;KhcSB+NFJvx/sOLd/i4xIzu+4MyDoxE9fv7y+PUbWxZtxogtpdz6u3Q+YbxLhehBJ8e0NfETjb1S&#10;JzLsUJU9XpRVh8wEXS6vZsvrBQ1APMWaE0SBignzGxUcK07HrfGFNLSwf4uZylLqU0q5tp6NHX+5&#10;uJ4vCQ9oabSFTK6LRAN9Xx9jsEZujbXlCaZ+d2sT2wOtwXY7pa+wI+Bf0kqVDeBwyquh04IMCuRr&#10;L1k+RhLI0ybz0oNTkjOraPGLR4DQZjD2bzKptPXUQRH4JGnxdkEeaRwPMZl+IClmtcsSofHXfs+r&#10;Wvbr53NF+vFD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g5s+9YAAAAIAQAADwAAAAAAAAAB&#10;ACAAAAAiAAAAZHJzL2Rvd25yZXYueG1sUEsBAhQAFAAAAAgAh07iQEESs2fZAQAAmAMAAA4AAAAA&#10;AAAAAQAgAAAAJQEAAGRycy9lMm9Eb2MueG1sUEsFBgAAAAAGAAYAWQEAAHAFAAAAAA==&#10;">
                <v:fill on="f" focussize="0,0"/>
                <v:stroke weight="2.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before="289" w:beforeLines="50" w:line="240" w:lineRule="auto"/>
        <w:jc w:val="center"/>
        <w:textAlignment w:val="auto"/>
        <w:rPr>
          <w:rFonts w:hint="eastAsia" w:ascii="仿宋_GB2312" w:hAnsi="仿宋_GB2312" w:eastAsia="仿宋_GB2312" w:cs="仿宋_GB2312"/>
          <w:kern w:val="10"/>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宋体" w:eastAsia="方正小标宋简体"/>
          <w:sz w:val="44"/>
          <w:szCs w:val="44"/>
        </w:rPr>
      </w:pPr>
      <w:r>
        <w:rPr>
          <w:rFonts w:hint="eastAsia" w:ascii="方正小标宋简体" w:hAnsi="宋体" w:eastAsia="方正小标宋简体"/>
          <w:kern w:val="10"/>
          <w:sz w:val="44"/>
          <w:szCs w:val="44"/>
        </w:rPr>
        <w:t>福建省统计专业职务资格考试领导小组办公室</w:t>
      </w:r>
      <w:r>
        <w:rPr>
          <w:rFonts w:ascii="方正小标宋简体" w:hAnsi="宋体" w:eastAsia="方正小标宋简体"/>
          <w:kern w:val="10"/>
          <w:sz w:val="44"/>
          <w:szCs w:val="44"/>
        </w:rPr>
        <w:t xml:space="preserve">  </w:t>
      </w:r>
      <w:r>
        <w:rPr>
          <w:rFonts w:hint="eastAsia" w:ascii="方正小标宋简体" w:hAnsi="宋体" w:eastAsia="方正小标宋简体"/>
          <w:kern w:val="10"/>
          <w:sz w:val="44"/>
          <w:szCs w:val="44"/>
        </w:rPr>
        <w:t>福建省职称改革工作办公室</w:t>
      </w:r>
      <w:r>
        <w:rPr>
          <w:rFonts w:hint="eastAsia" w:ascii="方正小标宋简体" w:hAnsi="宋体" w:eastAsia="方正小标宋简体"/>
          <w:sz w:val="44"/>
          <w:szCs w:val="44"/>
        </w:rPr>
        <w:t>关于</w:t>
      </w:r>
      <w:r>
        <w:rPr>
          <w:rFonts w:ascii="方正小标宋简体" w:hAnsi="宋体" w:eastAsia="方正小标宋简体"/>
          <w:sz w:val="44"/>
          <w:szCs w:val="44"/>
        </w:rPr>
        <w:t>20</w:t>
      </w:r>
      <w:r>
        <w:rPr>
          <w:rFonts w:hint="eastAsia" w:ascii="方正小标宋简体" w:hAnsi="宋体" w:eastAsia="方正小标宋简体"/>
          <w:sz w:val="44"/>
          <w:szCs w:val="44"/>
          <w:lang w:val="en-US" w:eastAsia="zh-CN"/>
        </w:rPr>
        <w:t>21</w:t>
      </w:r>
      <w:r>
        <w:rPr>
          <w:rFonts w:hint="eastAsia" w:ascii="方正小标宋简体" w:hAnsi="宋体" w:eastAsia="方正小标宋简体"/>
          <w:sz w:val="44"/>
          <w:szCs w:val="44"/>
        </w:rPr>
        <w:t>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福建省统计专业技术资格考试考务</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小标宋简体" w:hAnsi="宋体" w:eastAsia="方正小标宋简体"/>
          <w:kern w:val="10"/>
          <w:sz w:val="44"/>
          <w:szCs w:val="44"/>
        </w:rPr>
      </w:pPr>
      <w:r>
        <w:rPr>
          <w:rFonts w:hint="eastAsia" w:ascii="方正小标宋简体" w:hAnsi="宋体" w:eastAsia="方正小标宋简体"/>
          <w:sz w:val="44"/>
          <w:szCs w:val="44"/>
        </w:rPr>
        <w:t>工作安排的通知</w:t>
      </w:r>
    </w:p>
    <w:p>
      <w:pPr>
        <w:jc w:val="center"/>
        <w:rPr>
          <w:rFonts w:ascii="仿宋_GB2312" w:hAnsi="宋体" w:eastAsia="仿宋_GB2312"/>
          <w:sz w:val="44"/>
          <w:szCs w:val="44"/>
        </w:rPr>
      </w:pPr>
    </w:p>
    <w:p>
      <w:pPr>
        <w:keepNext w:val="0"/>
        <w:keepLines w:val="0"/>
        <w:pageBreakBefore w:val="0"/>
        <w:widowControl w:val="0"/>
        <w:kinsoku/>
        <w:wordWrap/>
        <w:overflowPunct/>
        <w:topLinePunct w:val="0"/>
        <w:autoSpaceDE/>
        <w:autoSpaceDN/>
        <w:bidi w:val="0"/>
        <w:adjustRightInd w:val="0"/>
        <w:snapToGrid w:val="0"/>
        <w:spacing w:line="312" w:lineRule="auto"/>
        <w:ind w:right="0" w:rightChars="0"/>
        <w:jc w:val="both"/>
        <w:textAlignment w:val="auto"/>
        <w:outlineLvl w:val="9"/>
        <w:rPr>
          <w:rFonts w:ascii="仿宋_GB2312" w:hAnsi="仿宋" w:eastAsia="仿宋_GB2312"/>
          <w:spacing w:val="-10"/>
        </w:rPr>
      </w:pPr>
      <w:r>
        <w:rPr>
          <w:rFonts w:hint="eastAsia" w:ascii="仿宋_GB2312" w:hAnsi="仿宋" w:eastAsia="仿宋_GB2312"/>
          <w:spacing w:val="-10"/>
        </w:rPr>
        <w:t>各设区市统计局、人社局，平潭综合实验区统计局、党群工作部，</w:t>
      </w:r>
      <w:r>
        <w:rPr>
          <w:rFonts w:hint="eastAsia" w:ascii="仿宋_GB2312" w:hAnsi="仿宋" w:eastAsia="仿宋_GB2312"/>
        </w:rPr>
        <w:t>省直各有关单位，省内各大专院校</w:t>
      </w:r>
      <w:r>
        <w:rPr>
          <w:rFonts w:hint="eastAsia" w:ascii="仿宋_GB2312" w:hAnsi="仿宋" w:eastAsia="仿宋_GB2312"/>
          <w:spacing w:val="-10"/>
        </w:rPr>
        <w:t>：</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rPr>
      </w:pPr>
      <w:r>
        <w:rPr>
          <w:rFonts w:hint="eastAsia" w:ascii="仿宋_GB2312" w:hAnsi="仿宋" w:eastAsia="仿宋_GB2312"/>
        </w:rPr>
        <w:t>根据人力资源和社会保障部</w:t>
      </w:r>
      <w:r>
        <w:rPr>
          <w:rFonts w:hint="eastAsia" w:ascii="仿宋_GB2312" w:hAnsi="仿宋" w:eastAsia="仿宋_GB2312"/>
          <w:lang w:eastAsia="zh-CN"/>
        </w:rPr>
        <w:t>、</w:t>
      </w:r>
      <w:r>
        <w:rPr>
          <w:rFonts w:hint="eastAsia" w:ascii="仿宋_GB2312" w:hAnsi="仿宋" w:eastAsia="仿宋_GB2312"/>
        </w:rPr>
        <w:t>国家统计局全国统计专业技术资格考试办公室《关于202</w:t>
      </w:r>
      <w:r>
        <w:rPr>
          <w:rFonts w:hint="eastAsia" w:ascii="仿宋_GB2312" w:hAnsi="仿宋" w:eastAsia="仿宋_GB2312"/>
          <w:lang w:val="en-US" w:eastAsia="zh-CN"/>
        </w:rPr>
        <w:t>1</w:t>
      </w:r>
      <w:r>
        <w:rPr>
          <w:rFonts w:hint="eastAsia" w:ascii="仿宋_GB2312" w:hAnsi="仿宋" w:eastAsia="仿宋_GB2312"/>
        </w:rPr>
        <w:t>年度统计专业技术资格考试有关事项的通知》</w:t>
      </w:r>
      <w:r>
        <w:rPr>
          <w:rFonts w:hint="eastAsia" w:ascii="仿宋_GB2312" w:hAnsi="仿宋" w:eastAsia="仿宋_GB2312"/>
          <w:color w:val="auto"/>
        </w:rPr>
        <w:t>（统考办字〔</w:t>
      </w:r>
      <w:r>
        <w:rPr>
          <w:rFonts w:hint="eastAsia" w:ascii="仿宋_GB2312" w:hAnsi="仿宋" w:eastAsia="仿宋_GB2312"/>
          <w:color w:val="auto"/>
          <w:lang w:eastAsia="zh-CN"/>
        </w:rPr>
        <w:t>202</w:t>
      </w:r>
      <w:r>
        <w:rPr>
          <w:rFonts w:hint="eastAsia" w:ascii="仿宋_GB2312" w:hAnsi="仿宋" w:eastAsia="仿宋_GB2312"/>
          <w:color w:val="auto"/>
          <w:lang w:val="en-US" w:eastAsia="zh-CN"/>
        </w:rPr>
        <w:t>1</w:t>
      </w:r>
      <w:r>
        <w:rPr>
          <w:rFonts w:hint="eastAsia" w:ascii="仿宋_GB2312" w:hAnsi="仿宋" w:eastAsia="仿宋_GB2312"/>
          <w:color w:val="auto"/>
        </w:rPr>
        <w:t>〕</w:t>
      </w:r>
      <w:r>
        <w:rPr>
          <w:rFonts w:ascii="仿宋_GB2312" w:hAnsi="仿宋" w:eastAsia="仿宋_GB2312"/>
          <w:color w:val="auto"/>
        </w:rPr>
        <w:t>1</w:t>
      </w:r>
      <w:r>
        <w:rPr>
          <w:rFonts w:hint="eastAsia" w:ascii="仿宋_GB2312" w:hAnsi="仿宋" w:eastAsia="仿宋_GB2312"/>
          <w:color w:val="auto"/>
        </w:rPr>
        <w:t>号）、</w:t>
      </w:r>
      <w:r>
        <w:rPr>
          <w:rFonts w:hint="eastAsia" w:ascii="仿宋_GB2312" w:hAnsi="仿宋" w:eastAsia="仿宋_GB2312"/>
        </w:rPr>
        <w:t>《关于深化统计专业人员职称制度改革的指导意见》（人社部发〔2020〕16号）精神，结合我省实际情况，现就我省</w:t>
      </w:r>
      <w:r>
        <w:rPr>
          <w:rFonts w:hint="eastAsia" w:ascii="仿宋_GB2312" w:hAnsi="仿宋" w:eastAsia="仿宋_GB2312"/>
          <w:lang w:eastAsia="zh-CN"/>
        </w:rPr>
        <w:t>202</w:t>
      </w:r>
      <w:r>
        <w:rPr>
          <w:rFonts w:hint="eastAsia" w:ascii="仿宋_GB2312" w:hAnsi="仿宋" w:eastAsia="仿宋_GB2312"/>
          <w:lang w:val="en-US" w:eastAsia="zh-CN"/>
        </w:rPr>
        <w:t>1</w:t>
      </w:r>
      <w:r>
        <w:rPr>
          <w:rFonts w:hint="eastAsia" w:ascii="仿宋_GB2312" w:hAnsi="仿宋" w:eastAsia="仿宋_GB2312"/>
        </w:rPr>
        <w:t>年度统计专业技术初级、中级和高级（高级统计师资格考评结合考试）资格考试有关事项通知如下：</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黑体" w:hAnsi="仿宋" w:eastAsia="黑体"/>
        </w:rPr>
      </w:pPr>
      <w:r>
        <w:rPr>
          <w:rFonts w:hint="eastAsia" w:ascii="黑体" w:hAnsi="仿宋" w:eastAsia="黑体"/>
        </w:rPr>
        <w:t>一、考试时间和考试科目</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rPr>
      </w:pPr>
      <w:r>
        <w:rPr>
          <w:rFonts w:hint="eastAsia" w:ascii="仿宋_GB2312" w:hAnsi="仿宋" w:eastAsia="仿宋_GB2312"/>
          <w:lang w:eastAsia="zh-CN"/>
        </w:rPr>
        <w:t>202</w:t>
      </w:r>
      <w:r>
        <w:rPr>
          <w:rFonts w:hint="eastAsia" w:ascii="仿宋_GB2312" w:hAnsi="仿宋" w:eastAsia="仿宋_GB2312"/>
          <w:lang w:val="en-US" w:eastAsia="zh-CN"/>
        </w:rPr>
        <w:t>1</w:t>
      </w:r>
      <w:r>
        <w:rPr>
          <w:rFonts w:hint="eastAsia" w:ascii="仿宋_GB2312" w:hAnsi="仿宋" w:eastAsia="仿宋_GB2312"/>
        </w:rPr>
        <w:t>年度全国统计专业技术资格考试时间统一定为</w:t>
      </w:r>
      <w:r>
        <w:rPr>
          <w:rFonts w:hint="eastAsia" w:ascii="仿宋_GB2312" w:hAnsi="仿宋" w:eastAsia="仿宋_GB2312"/>
          <w:lang w:eastAsia="zh-CN"/>
        </w:rPr>
        <w:t>202</w:t>
      </w:r>
      <w:r>
        <w:rPr>
          <w:rFonts w:hint="eastAsia" w:ascii="仿宋_GB2312" w:hAnsi="仿宋" w:eastAsia="仿宋_GB2312"/>
          <w:lang w:val="en-US" w:eastAsia="zh-CN"/>
        </w:rPr>
        <w:t>1</w:t>
      </w:r>
      <w:r>
        <w:rPr>
          <w:rFonts w:hint="eastAsia" w:ascii="仿宋_GB2312" w:hAnsi="仿宋" w:eastAsia="仿宋_GB2312"/>
        </w:rPr>
        <w:t>年</w:t>
      </w:r>
      <w:r>
        <w:rPr>
          <w:rFonts w:ascii="仿宋_GB2312" w:hAnsi="仿宋" w:eastAsia="仿宋_GB2312"/>
        </w:rPr>
        <w:t>10</w:t>
      </w:r>
      <w:r>
        <w:rPr>
          <w:rFonts w:hint="eastAsia" w:ascii="仿宋_GB2312" w:hAnsi="仿宋" w:eastAsia="仿宋_GB2312"/>
        </w:rPr>
        <w:t>月</w:t>
      </w:r>
      <w:r>
        <w:rPr>
          <w:rFonts w:hint="eastAsia" w:ascii="仿宋_GB2312" w:hAnsi="仿宋" w:eastAsia="仿宋_GB2312"/>
          <w:lang w:val="en-US" w:eastAsia="zh-CN"/>
        </w:rPr>
        <w:t>17</w:t>
      </w:r>
      <w:r>
        <w:rPr>
          <w:rFonts w:hint="eastAsia" w:ascii="仿宋_GB2312" w:hAnsi="仿宋" w:eastAsia="仿宋_GB2312"/>
        </w:rPr>
        <w:t>日</w:t>
      </w:r>
      <w:r>
        <w:rPr>
          <w:rFonts w:ascii="仿宋_GB2312" w:hAnsi="仿宋" w:eastAsia="仿宋_GB2312"/>
        </w:rPr>
        <w:t>(</w:t>
      </w:r>
      <w:r>
        <w:rPr>
          <w:rFonts w:hint="eastAsia" w:ascii="仿宋_GB2312" w:hAnsi="仿宋" w:eastAsia="仿宋_GB2312"/>
        </w:rPr>
        <w:t>星期日</w:t>
      </w:r>
      <w:r>
        <w:rPr>
          <w:rFonts w:ascii="仿宋_GB2312" w:hAnsi="仿宋" w:eastAsia="仿宋_GB2312"/>
        </w:rPr>
        <w:t>)</w:t>
      </w:r>
      <w:r>
        <w:rPr>
          <w:rFonts w:hint="eastAsia" w:ascii="仿宋_GB2312" w:hAnsi="仿宋" w:eastAsia="仿宋_GB2312"/>
        </w:rPr>
        <w:t>。</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b/>
        </w:rPr>
      </w:pPr>
      <w:r>
        <w:rPr>
          <w:rFonts w:hint="eastAsia" w:ascii="仿宋_GB2312" w:hAnsi="仿宋" w:eastAsia="仿宋_GB2312"/>
          <w:b/>
        </w:rPr>
        <w:t>初级资格考试时间及科目为：</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rPr>
      </w:pPr>
      <w:r>
        <w:rPr>
          <w:rFonts w:hint="eastAsia" w:ascii="仿宋_GB2312" w:hAnsi="仿宋" w:eastAsia="仿宋_GB2312"/>
        </w:rPr>
        <w:t>上午</w:t>
      </w:r>
      <w:r>
        <w:rPr>
          <w:rFonts w:ascii="仿宋_GB2312" w:hAnsi="仿宋" w:eastAsia="仿宋_GB2312"/>
        </w:rPr>
        <w:t xml:space="preserve">09:00——11:30       </w:t>
      </w:r>
      <w:r>
        <w:rPr>
          <w:rFonts w:hint="eastAsia" w:ascii="仿宋_GB2312" w:hAnsi="仿宋" w:eastAsia="仿宋_GB2312"/>
        </w:rPr>
        <w:t>统计学和统计法基础知识</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rPr>
      </w:pPr>
      <w:r>
        <w:rPr>
          <w:rFonts w:hint="eastAsia" w:ascii="仿宋_GB2312" w:hAnsi="仿宋" w:eastAsia="仿宋_GB2312"/>
        </w:rPr>
        <w:t>下午</w:t>
      </w:r>
      <w:r>
        <w:rPr>
          <w:rFonts w:ascii="仿宋_GB2312" w:hAnsi="仿宋" w:eastAsia="仿宋_GB2312"/>
        </w:rPr>
        <w:t xml:space="preserve">14:00——16:30       </w:t>
      </w:r>
      <w:r>
        <w:rPr>
          <w:rFonts w:hint="eastAsia" w:ascii="仿宋_GB2312" w:hAnsi="仿宋" w:eastAsia="仿宋_GB2312"/>
        </w:rPr>
        <w:t>统计专业知识和实务</w:t>
      </w:r>
      <w:r>
        <w:rPr>
          <w:rFonts w:ascii="仿宋_GB2312" w:hAnsi="仿宋" w:eastAsia="仿宋_GB2312"/>
        </w:rPr>
        <w:t xml:space="preserve">      </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b/>
        </w:rPr>
      </w:pPr>
      <w:r>
        <w:rPr>
          <w:rFonts w:hint="eastAsia" w:ascii="仿宋_GB2312" w:hAnsi="仿宋" w:eastAsia="仿宋_GB2312"/>
          <w:b/>
        </w:rPr>
        <w:t>中级资格考试时间及科目为：</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rPr>
      </w:pPr>
      <w:r>
        <w:rPr>
          <w:rFonts w:hint="eastAsia" w:ascii="仿宋_GB2312" w:hAnsi="仿宋" w:eastAsia="仿宋_GB2312"/>
        </w:rPr>
        <w:t>上午</w:t>
      </w:r>
      <w:r>
        <w:rPr>
          <w:rFonts w:ascii="仿宋_GB2312" w:hAnsi="仿宋" w:eastAsia="仿宋_GB2312"/>
        </w:rPr>
        <w:t xml:space="preserve">09:00——11:30       </w:t>
      </w:r>
      <w:r>
        <w:rPr>
          <w:rFonts w:hint="eastAsia" w:ascii="仿宋_GB2312" w:hAnsi="仿宋" w:eastAsia="仿宋_GB2312"/>
        </w:rPr>
        <w:t>统计基础理论及相关知识</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rPr>
      </w:pPr>
      <w:r>
        <w:rPr>
          <w:rFonts w:hint="eastAsia" w:ascii="仿宋_GB2312" w:hAnsi="仿宋" w:eastAsia="仿宋_GB2312"/>
        </w:rPr>
        <w:t>下午</w:t>
      </w:r>
      <w:r>
        <w:rPr>
          <w:rFonts w:ascii="仿宋_GB2312" w:hAnsi="仿宋" w:eastAsia="仿宋_GB2312"/>
        </w:rPr>
        <w:t xml:space="preserve">14:00——16:30       </w:t>
      </w:r>
      <w:r>
        <w:rPr>
          <w:rFonts w:hint="eastAsia" w:ascii="仿宋_GB2312" w:hAnsi="仿宋" w:eastAsia="仿宋_GB2312"/>
        </w:rPr>
        <w:t>统计工作实务</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b/>
        </w:rPr>
      </w:pPr>
      <w:r>
        <w:rPr>
          <w:rFonts w:hint="eastAsia" w:ascii="仿宋_GB2312" w:hAnsi="仿宋" w:eastAsia="仿宋_GB2312"/>
          <w:b/>
        </w:rPr>
        <w:t>高级资格考试时间及科目为：</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rPr>
      </w:pPr>
      <w:r>
        <w:rPr>
          <w:rFonts w:hint="eastAsia" w:ascii="仿宋_GB2312" w:hAnsi="仿宋" w:eastAsia="仿宋_GB2312"/>
        </w:rPr>
        <w:t>上午</w:t>
      </w:r>
      <w:r>
        <w:rPr>
          <w:rFonts w:ascii="仿宋_GB2312" w:hAnsi="仿宋" w:eastAsia="仿宋_GB2312"/>
        </w:rPr>
        <w:t xml:space="preserve">09:00——12:00       </w:t>
      </w:r>
      <w:r>
        <w:rPr>
          <w:rFonts w:hint="eastAsia" w:ascii="仿宋_GB2312" w:hAnsi="仿宋" w:eastAsia="仿宋_GB2312"/>
        </w:rPr>
        <w:t>高级统计实务与案例分析</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rPr>
      </w:pPr>
      <w:r>
        <w:rPr>
          <w:rFonts w:hint="eastAsia" w:ascii="仿宋_GB2312" w:hAnsi="仿宋" w:eastAsia="仿宋_GB2312"/>
        </w:rPr>
        <w:t>初级、中级资格考试采取闭卷笔答方式，高级资格考试采取开卷笔答方式。</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黑体" w:hAnsi="仿宋" w:eastAsia="黑体"/>
        </w:rPr>
      </w:pPr>
      <w:r>
        <w:rPr>
          <w:rFonts w:hint="eastAsia" w:ascii="黑体" w:hAnsi="仿宋" w:eastAsia="黑体"/>
        </w:rPr>
        <w:t>二、报考条件</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rPr>
        <w:t>参加统计专业初、中、高级资格考试的人员报考条件遵照以下执行：</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eastAsia="zh-CN"/>
        </w:rPr>
        <w:t>（一）</w:t>
      </w:r>
      <w:r>
        <w:rPr>
          <w:rFonts w:hint="eastAsia" w:ascii="仿宋_GB2312" w:hAnsi="仿宋" w:eastAsia="仿宋_GB2312"/>
        </w:rPr>
        <w:t>遵守中华人民共和国宪法和统计法律法规，贯彻执行党的基本路线和各项方针、政策。</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eastAsia="zh-CN"/>
        </w:rPr>
        <w:t>（二）</w:t>
      </w:r>
      <w:r>
        <w:rPr>
          <w:rFonts w:hint="eastAsia" w:ascii="仿宋_GB2312" w:hAnsi="仿宋" w:eastAsia="仿宋_GB2312"/>
        </w:rPr>
        <w:t>具备良好的统计职业道德和敬业精神，自觉维护统计数据真实性，坚决抵制统计造假、弄虚作假。</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eastAsia="zh-CN"/>
        </w:rPr>
        <w:t>（三）</w:t>
      </w:r>
      <w:r>
        <w:rPr>
          <w:rFonts w:hint="eastAsia" w:ascii="仿宋_GB2312" w:hAnsi="仿宋" w:eastAsia="仿宋_GB2312"/>
        </w:rPr>
        <w:t>认真履行岗位职责，按照要求参加继续教育。</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eastAsia="zh-CN"/>
        </w:rPr>
        <w:t>（四）</w:t>
      </w:r>
      <w:r>
        <w:rPr>
          <w:rFonts w:hint="eastAsia" w:ascii="仿宋_GB2312" w:hAnsi="仿宋" w:eastAsia="仿宋_GB2312"/>
        </w:rPr>
        <w:t>报名参加统计专业初级资格考试的人员，除第</w:t>
      </w:r>
      <w:r>
        <w:rPr>
          <w:rFonts w:hint="eastAsia" w:ascii="仿宋_GB2312" w:hAnsi="仿宋" w:eastAsia="仿宋_GB2312"/>
          <w:lang w:eastAsia="zh-CN"/>
        </w:rPr>
        <w:t>（</w:t>
      </w:r>
      <w:r>
        <w:rPr>
          <w:rFonts w:hint="eastAsia" w:ascii="仿宋_GB2312" w:hAnsi="仿宋" w:eastAsia="仿宋_GB2312"/>
        </w:rPr>
        <w:t>一</w:t>
      </w:r>
      <w:r>
        <w:rPr>
          <w:rFonts w:hint="eastAsia" w:ascii="仿宋_GB2312" w:hAnsi="仿宋" w:eastAsia="仿宋_GB2312"/>
          <w:lang w:eastAsia="zh-CN"/>
        </w:rPr>
        <w:t>）（</w:t>
      </w:r>
      <w:r>
        <w:rPr>
          <w:rFonts w:hint="eastAsia" w:ascii="仿宋_GB2312" w:hAnsi="仿宋" w:eastAsia="仿宋_GB2312"/>
        </w:rPr>
        <w:t>二</w:t>
      </w:r>
      <w:r>
        <w:rPr>
          <w:rFonts w:hint="eastAsia" w:ascii="仿宋_GB2312" w:hAnsi="仿宋" w:eastAsia="仿宋_GB2312"/>
          <w:lang w:eastAsia="zh-CN"/>
        </w:rPr>
        <w:t>）（</w:t>
      </w:r>
      <w:r>
        <w:rPr>
          <w:rFonts w:hint="eastAsia" w:ascii="仿宋_GB2312" w:hAnsi="仿宋" w:eastAsia="仿宋_GB2312"/>
        </w:rPr>
        <w:t>三</w:t>
      </w:r>
      <w:r>
        <w:rPr>
          <w:rFonts w:hint="eastAsia" w:ascii="仿宋_GB2312" w:hAnsi="仿宋" w:eastAsia="仿宋_GB2312"/>
          <w:lang w:eastAsia="zh-CN"/>
        </w:rPr>
        <w:t>）</w:t>
      </w:r>
      <w:r>
        <w:rPr>
          <w:rFonts w:hint="eastAsia" w:ascii="仿宋_GB2312" w:hAnsi="仿宋" w:eastAsia="仿宋_GB2312"/>
        </w:rPr>
        <w:t>项基本条件外，还必须具备国家教育部门认可的高中毕业（含高中、中专、职高、技校，下同）及以上学历。</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eastAsia="zh-CN"/>
        </w:rPr>
        <w:t>（五）</w:t>
      </w:r>
      <w:r>
        <w:rPr>
          <w:rFonts w:hint="eastAsia" w:ascii="仿宋_GB2312" w:hAnsi="仿宋" w:eastAsia="仿宋_GB2312"/>
        </w:rPr>
        <w:t>报名参加统计专业中级资格考试的人员，除第</w:t>
      </w:r>
      <w:r>
        <w:rPr>
          <w:rFonts w:hint="eastAsia" w:ascii="仿宋_GB2312" w:hAnsi="仿宋" w:eastAsia="仿宋_GB2312"/>
          <w:lang w:eastAsia="zh-CN"/>
        </w:rPr>
        <w:t>（</w:t>
      </w:r>
      <w:r>
        <w:rPr>
          <w:rFonts w:hint="eastAsia" w:ascii="仿宋_GB2312" w:hAnsi="仿宋" w:eastAsia="仿宋_GB2312"/>
        </w:rPr>
        <w:t>一</w:t>
      </w:r>
      <w:r>
        <w:rPr>
          <w:rFonts w:hint="eastAsia" w:ascii="仿宋_GB2312" w:hAnsi="仿宋" w:eastAsia="仿宋_GB2312"/>
          <w:lang w:eastAsia="zh-CN"/>
        </w:rPr>
        <w:t>）（</w:t>
      </w:r>
      <w:r>
        <w:rPr>
          <w:rFonts w:hint="eastAsia" w:ascii="仿宋_GB2312" w:hAnsi="仿宋" w:eastAsia="仿宋_GB2312"/>
        </w:rPr>
        <w:t>二</w:t>
      </w:r>
      <w:r>
        <w:rPr>
          <w:rFonts w:hint="eastAsia" w:ascii="仿宋_GB2312" w:hAnsi="仿宋" w:eastAsia="仿宋_GB2312"/>
          <w:lang w:eastAsia="zh-CN"/>
        </w:rPr>
        <w:t>）（</w:t>
      </w:r>
      <w:r>
        <w:rPr>
          <w:rFonts w:hint="eastAsia" w:ascii="仿宋_GB2312" w:hAnsi="仿宋" w:eastAsia="仿宋_GB2312"/>
        </w:rPr>
        <w:t>三</w:t>
      </w:r>
      <w:r>
        <w:rPr>
          <w:rFonts w:hint="eastAsia" w:ascii="仿宋_GB2312" w:hAnsi="仿宋" w:eastAsia="仿宋_GB2312"/>
          <w:lang w:eastAsia="zh-CN"/>
        </w:rPr>
        <w:t>）</w:t>
      </w:r>
      <w:r>
        <w:rPr>
          <w:rFonts w:hint="eastAsia" w:ascii="仿宋_GB2312" w:hAnsi="仿宋" w:eastAsia="仿宋_GB2312"/>
        </w:rPr>
        <w:t>项基本条件外，还必须具备下列条件之一：</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val="en-US" w:eastAsia="zh-CN"/>
        </w:rPr>
        <w:t>1.</w:t>
      </w:r>
      <w:r>
        <w:rPr>
          <w:rFonts w:hint="eastAsia" w:ascii="仿宋_GB2312" w:hAnsi="仿宋" w:eastAsia="仿宋_GB2312"/>
        </w:rPr>
        <w:t>高中毕业并取得初级统计专业技术资格，从事统计工作满10年；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val="en-US" w:eastAsia="zh-CN"/>
        </w:rPr>
        <w:t>2.</w:t>
      </w:r>
      <w:r>
        <w:rPr>
          <w:rFonts w:hint="eastAsia" w:ascii="仿宋_GB2312" w:hAnsi="仿宋" w:eastAsia="仿宋_GB2312"/>
        </w:rPr>
        <w:t>具备大学专科学历，从事统计工作满6年；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val="en-US" w:eastAsia="zh-CN"/>
        </w:rPr>
        <w:t>3.</w:t>
      </w:r>
      <w:r>
        <w:rPr>
          <w:rFonts w:hint="eastAsia" w:ascii="仿宋_GB2312" w:hAnsi="仿宋" w:eastAsia="仿宋_GB2312"/>
        </w:rPr>
        <w:t>具备大学本科学历或学士学位，从事统计工作满4年；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val="en-US" w:eastAsia="zh-CN"/>
        </w:rPr>
        <w:t>4.</w:t>
      </w:r>
      <w:r>
        <w:rPr>
          <w:rFonts w:hint="eastAsia" w:ascii="仿宋_GB2312" w:hAnsi="仿宋" w:eastAsia="仿宋_GB2312"/>
        </w:rPr>
        <w:t>具备第二学士学位或研究生班毕业，从事统计工作满2年；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val="en-US" w:eastAsia="zh-CN"/>
        </w:rPr>
        <w:t>5.</w:t>
      </w:r>
      <w:r>
        <w:rPr>
          <w:rFonts w:hint="eastAsia" w:ascii="仿宋_GB2312" w:hAnsi="仿宋" w:eastAsia="仿宋_GB2312"/>
        </w:rPr>
        <w:t>具备硕士学位，从事统计工作满1年；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val="en-US" w:eastAsia="zh-CN"/>
        </w:rPr>
        <w:t>6.</w:t>
      </w:r>
      <w:r>
        <w:rPr>
          <w:rFonts w:hint="eastAsia" w:ascii="仿宋_GB2312" w:hAnsi="仿宋" w:eastAsia="仿宋_GB2312"/>
        </w:rPr>
        <w:t>具备博士学位。</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eastAsia="zh-CN"/>
        </w:rPr>
        <w:t>（六）</w:t>
      </w:r>
      <w:r>
        <w:rPr>
          <w:rFonts w:hint="eastAsia" w:ascii="仿宋_GB2312" w:hAnsi="仿宋" w:eastAsia="仿宋_GB2312"/>
        </w:rPr>
        <w:t>报名参加统计专业高级资格考试的人员，除第</w:t>
      </w:r>
      <w:r>
        <w:rPr>
          <w:rFonts w:hint="eastAsia" w:ascii="仿宋_GB2312" w:hAnsi="仿宋" w:eastAsia="仿宋_GB2312"/>
          <w:lang w:eastAsia="zh-CN"/>
        </w:rPr>
        <w:t>（</w:t>
      </w:r>
      <w:r>
        <w:rPr>
          <w:rFonts w:hint="eastAsia" w:ascii="仿宋_GB2312" w:hAnsi="仿宋" w:eastAsia="仿宋_GB2312"/>
        </w:rPr>
        <w:t>一</w:t>
      </w:r>
      <w:r>
        <w:rPr>
          <w:rFonts w:hint="eastAsia" w:ascii="仿宋_GB2312" w:hAnsi="仿宋" w:eastAsia="仿宋_GB2312"/>
          <w:lang w:eastAsia="zh-CN"/>
        </w:rPr>
        <w:t>）（</w:t>
      </w:r>
      <w:r>
        <w:rPr>
          <w:rFonts w:hint="eastAsia" w:ascii="仿宋_GB2312" w:hAnsi="仿宋" w:eastAsia="仿宋_GB2312"/>
        </w:rPr>
        <w:t>二</w:t>
      </w:r>
      <w:r>
        <w:rPr>
          <w:rFonts w:hint="eastAsia" w:ascii="仿宋_GB2312" w:hAnsi="仿宋" w:eastAsia="仿宋_GB2312"/>
          <w:lang w:eastAsia="zh-CN"/>
        </w:rPr>
        <w:t>）（</w:t>
      </w:r>
      <w:r>
        <w:rPr>
          <w:rFonts w:hint="eastAsia" w:ascii="仿宋_GB2312" w:hAnsi="仿宋" w:eastAsia="仿宋_GB2312"/>
        </w:rPr>
        <w:t>三</w:t>
      </w:r>
      <w:r>
        <w:rPr>
          <w:rFonts w:hint="eastAsia" w:ascii="仿宋_GB2312" w:hAnsi="仿宋" w:eastAsia="仿宋_GB2312"/>
          <w:lang w:eastAsia="zh-CN"/>
        </w:rPr>
        <w:t>）</w:t>
      </w:r>
      <w:r>
        <w:rPr>
          <w:rFonts w:hint="eastAsia" w:ascii="仿宋_GB2312" w:hAnsi="仿宋" w:eastAsia="仿宋_GB2312"/>
        </w:rPr>
        <w:t>项基本条件外，还必须具备下列条件之一：</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val="en-US" w:eastAsia="zh-CN"/>
        </w:rPr>
        <w:t>1.</w:t>
      </w:r>
      <w:r>
        <w:rPr>
          <w:rFonts w:hint="eastAsia" w:ascii="仿宋_GB2312" w:hAnsi="仿宋" w:eastAsia="仿宋_GB2312"/>
        </w:rPr>
        <w:t>具备大学专科学历，取得中级统计专业技术资格后，从事与统计师职责相关工作满10年；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val="en-US" w:eastAsia="zh-CN"/>
        </w:rPr>
        <w:t>2.</w:t>
      </w:r>
      <w:r>
        <w:rPr>
          <w:rFonts w:hint="eastAsia" w:ascii="仿宋_GB2312" w:hAnsi="仿宋" w:eastAsia="仿宋_GB2312"/>
        </w:rPr>
        <w:t>具备硕士学位，或第二学士学位或研究生班毕业，或大学本科学历或学士学位，取得中级统计专业技术资格后，从事与统计师职责相关工作满5年；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lang w:val="en-US" w:eastAsia="zh-CN"/>
        </w:rPr>
        <w:t>3.</w:t>
      </w:r>
      <w:r>
        <w:rPr>
          <w:rFonts w:hint="eastAsia" w:ascii="仿宋_GB2312" w:hAnsi="仿宋" w:eastAsia="仿宋_GB2312"/>
        </w:rPr>
        <w:t>具备博士学位，取得中级统计专业技术资格后，从事与统计师职责相关工作满2年。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rPr>
        <w:t>取得经济、会计、审计及哲学社会科学研究（理论经济学、应用经济学、数学、统计学、计算机科学与技术专业）中级专业技术资格，符合以上学历、年限条件的，可以报名参加高级统计专业技术资格考试。</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rPr>
      </w:pPr>
      <w:r>
        <w:rPr>
          <w:rFonts w:hint="eastAsia" w:ascii="仿宋_GB2312" w:hAnsi="仿宋" w:eastAsia="仿宋_GB2312"/>
        </w:rPr>
        <w:t>（</w:t>
      </w:r>
      <w:r>
        <w:rPr>
          <w:rFonts w:hint="eastAsia" w:ascii="仿宋_GB2312" w:hAnsi="仿宋" w:eastAsia="仿宋_GB2312"/>
          <w:lang w:eastAsia="zh-CN"/>
        </w:rPr>
        <w:t>七</w:t>
      </w:r>
      <w:r>
        <w:rPr>
          <w:rFonts w:hint="eastAsia" w:ascii="仿宋_GB2312" w:hAnsi="仿宋" w:eastAsia="仿宋_GB2312"/>
        </w:rPr>
        <w:t>）上述报名条件中有关学历或学位的要求是指经国家教育行政部门认可的学历学位。专业工作时间算至</w:t>
      </w:r>
      <w:r>
        <w:rPr>
          <w:rFonts w:hint="eastAsia" w:ascii="仿宋_GB2312" w:hAnsi="仿宋" w:eastAsia="仿宋_GB2312"/>
          <w:lang w:eastAsia="zh-CN"/>
        </w:rPr>
        <w:t>202</w:t>
      </w:r>
      <w:r>
        <w:rPr>
          <w:rFonts w:hint="eastAsia" w:ascii="仿宋_GB2312" w:hAnsi="仿宋" w:eastAsia="仿宋_GB2312"/>
          <w:lang w:val="en-US" w:eastAsia="zh-CN"/>
        </w:rPr>
        <w:t>1</w:t>
      </w:r>
      <w:r>
        <w:rPr>
          <w:rFonts w:hint="eastAsia" w:ascii="仿宋_GB2312" w:hAnsi="仿宋" w:eastAsia="仿宋_GB2312"/>
        </w:rPr>
        <w:t>年</w:t>
      </w:r>
      <w:r>
        <w:rPr>
          <w:rFonts w:ascii="仿宋_GB2312" w:hAnsi="仿宋" w:eastAsia="仿宋_GB2312"/>
        </w:rPr>
        <w:t>12</w:t>
      </w:r>
      <w:r>
        <w:rPr>
          <w:rFonts w:hint="eastAsia" w:ascii="仿宋_GB2312" w:hAnsi="仿宋" w:eastAsia="仿宋_GB2312"/>
        </w:rPr>
        <w:t>月</w:t>
      </w:r>
      <w:r>
        <w:rPr>
          <w:rFonts w:ascii="仿宋_GB2312" w:hAnsi="仿宋" w:eastAsia="仿宋_GB2312"/>
        </w:rPr>
        <w:t>31</w:t>
      </w:r>
      <w:r>
        <w:rPr>
          <w:rFonts w:hint="eastAsia" w:ascii="仿宋_GB2312" w:hAnsi="仿宋" w:eastAsia="仿宋_GB2312"/>
        </w:rPr>
        <w:t>日。</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黑体" w:hAnsi="仿宋" w:eastAsia="黑体"/>
          <w:color w:val="auto"/>
        </w:rPr>
      </w:pPr>
      <w:r>
        <w:rPr>
          <w:rFonts w:hint="eastAsia" w:ascii="黑体" w:hAnsi="仿宋" w:eastAsia="黑体"/>
        </w:rPr>
        <w:t>三、网上报名时间及程序、缴费时间及办法、打印准考证时间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楷体" w:hAnsi="楷体" w:eastAsia="楷体" w:cs="楷体"/>
          <w:color w:val="auto"/>
        </w:rPr>
      </w:pPr>
      <w:r>
        <w:rPr>
          <w:rFonts w:hint="eastAsia" w:ascii="楷体" w:hAnsi="楷体" w:eastAsia="楷体" w:cs="楷体"/>
          <w:color w:val="auto"/>
        </w:rPr>
        <w:t>（一）报名时间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color w:val="auto"/>
        </w:rPr>
      </w:pPr>
      <w:r>
        <w:rPr>
          <w:rFonts w:hint="eastAsia" w:ascii="仿宋_GB2312" w:hAnsi="仿宋" w:eastAsia="仿宋_GB2312"/>
          <w:color w:val="auto"/>
        </w:rPr>
        <w:t>网上报名时间为</w:t>
      </w:r>
      <w:r>
        <w:rPr>
          <w:rFonts w:hint="eastAsia" w:ascii="仿宋_GB2312" w:hAnsi="仿宋" w:eastAsia="仿宋_GB2312"/>
          <w:color w:val="auto"/>
          <w:lang w:val="en-US" w:eastAsia="zh-CN"/>
        </w:rPr>
        <w:t>8</w:t>
      </w:r>
      <w:r>
        <w:rPr>
          <w:rFonts w:hint="eastAsia" w:ascii="仿宋_GB2312" w:hAnsi="仿宋" w:eastAsia="仿宋_GB2312"/>
          <w:color w:val="auto"/>
        </w:rPr>
        <w:t>月</w:t>
      </w:r>
      <w:r>
        <w:rPr>
          <w:rFonts w:hint="eastAsia" w:ascii="仿宋_GB2312" w:hAnsi="仿宋" w:eastAsia="仿宋_GB2312"/>
          <w:color w:val="auto"/>
          <w:lang w:val="en-US" w:eastAsia="zh-CN"/>
        </w:rPr>
        <w:t>2</w:t>
      </w:r>
      <w:r>
        <w:rPr>
          <w:rFonts w:hint="eastAsia" w:ascii="仿宋_GB2312" w:hAnsi="仿宋" w:eastAsia="仿宋_GB2312"/>
          <w:color w:val="auto"/>
        </w:rPr>
        <w:t>日</w:t>
      </w:r>
      <w:r>
        <w:rPr>
          <w:rFonts w:ascii="仿宋_GB2312" w:hAnsi="仿宋" w:eastAsia="仿宋_GB2312"/>
          <w:color w:val="auto"/>
        </w:rPr>
        <w:t>9</w:t>
      </w:r>
      <w:r>
        <w:rPr>
          <w:rFonts w:hint="eastAsia" w:ascii="仿宋_GB2312" w:hAnsi="仿宋" w:eastAsia="仿宋_GB2312"/>
          <w:color w:val="auto"/>
        </w:rPr>
        <w:t>：</w:t>
      </w:r>
      <w:r>
        <w:rPr>
          <w:rFonts w:ascii="仿宋_GB2312" w:hAnsi="仿宋" w:eastAsia="仿宋_GB2312"/>
          <w:color w:val="auto"/>
        </w:rPr>
        <w:t>00</w:t>
      </w:r>
      <w:r>
        <w:rPr>
          <w:rFonts w:hint="eastAsia" w:ascii="仿宋_GB2312" w:hAnsi="仿宋" w:eastAsia="仿宋_GB2312"/>
          <w:color w:val="auto"/>
        </w:rPr>
        <w:t>至</w:t>
      </w:r>
      <w:r>
        <w:rPr>
          <w:rFonts w:hint="eastAsia" w:ascii="仿宋_GB2312" w:hAnsi="仿宋" w:eastAsia="仿宋_GB2312"/>
          <w:color w:val="auto"/>
          <w:lang w:val="en-US" w:eastAsia="zh-CN"/>
        </w:rPr>
        <w:t>8</w:t>
      </w:r>
      <w:r>
        <w:rPr>
          <w:rFonts w:hint="eastAsia" w:ascii="仿宋_GB2312" w:hAnsi="仿宋" w:eastAsia="仿宋_GB2312"/>
          <w:color w:val="auto"/>
        </w:rPr>
        <w:t>月</w:t>
      </w:r>
      <w:r>
        <w:rPr>
          <w:rFonts w:hint="eastAsia" w:ascii="仿宋_GB2312" w:hAnsi="仿宋" w:eastAsia="仿宋_GB2312"/>
          <w:color w:val="auto"/>
          <w:lang w:val="en-US" w:eastAsia="zh-CN"/>
        </w:rPr>
        <w:t>12</w:t>
      </w:r>
      <w:r>
        <w:rPr>
          <w:rFonts w:hint="eastAsia" w:ascii="仿宋_GB2312" w:hAnsi="仿宋" w:eastAsia="仿宋_GB2312"/>
          <w:color w:val="auto"/>
        </w:rPr>
        <w:t>日</w:t>
      </w:r>
      <w:r>
        <w:rPr>
          <w:rFonts w:ascii="仿宋_GB2312" w:hAnsi="仿宋" w:eastAsia="仿宋_GB2312"/>
          <w:color w:val="auto"/>
        </w:rPr>
        <w:t>17</w:t>
      </w:r>
      <w:r>
        <w:rPr>
          <w:rFonts w:hint="eastAsia" w:ascii="仿宋_GB2312" w:hAnsi="仿宋" w:eastAsia="仿宋_GB2312"/>
          <w:color w:val="auto"/>
        </w:rPr>
        <w:t>：</w:t>
      </w:r>
      <w:r>
        <w:rPr>
          <w:rFonts w:ascii="仿宋_GB2312" w:hAnsi="仿宋" w:eastAsia="仿宋_GB2312"/>
          <w:color w:val="auto"/>
        </w:rPr>
        <w:t>00</w:t>
      </w:r>
      <w:r>
        <w:rPr>
          <w:rFonts w:hint="eastAsia" w:ascii="仿宋_GB2312" w:hAnsi="仿宋" w:eastAsia="仿宋_GB2312"/>
          <w:color w:val="auto"/>
        </w:rPr>
        <w:t>。</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楷体" w:hAnsi="楷体" w:eastAsia="楷体" w:cs="楷体"/>
          <w:color w:val="auto"/>
        </w:rPr>
      </w:pPr>
      <w:r>
        <w:rPr>
          <w:rFonts w:hint="eastAsia" w:ascii="楷体" w:hAnsi="楷体" w:eastAsia="楷体" w:cs="楷体"/>
          <w:color w:val="auto"/>
          <w:lang w:eastAsia="zh-CN"/>
        </w:rPr>
        <w:t>（二）</w:t>
      </w:r>
      <w:r>
        <w:rPr>
          <w:rFonts w:hint="eastAsia" w:ascii="楷体" w:hAnsi="楷体" w:eastAsia="楷体" w:cs="楷体"/>
          <w:color w:val="auto"/>
        </w:rPr>
        <w:t>报名程序</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lang w:val="en-US" w:eastAsia="zh-CN"/>
        </w:rPr>
      </w:pPr>
      <w:r>
        <w:rPr>
          <w:rFonts w:hint="eastAsia" w:ascii="仿宋_GB2312" w:hAnsi="仿宋" w:eastAsia="仿宋_GB2312"/>
          <w:color w:val="auto"/>
        </w:rPr>
        <w:t>考生登录</w:t>
      </w:r>
      <w:r>
        <w:rPr>
          <w:rFonts w:hint="eastAsia" w:ascii="仿宋_GB2312" w:hAnsi="仿宋" w:eastAsia="仿宋_GB2312"/>
          <w:color w:val="auto"/>
          <w:lang w:eastAsia="zh-CN"/>
        </w:rPr>
        <w:t>中国人事考试网（</w:t>
      </w:r>
      <w:r>
        <w:rPr>
          <w:rFonts w:ascii="仿宋_GB2312" w:hAnsi="仿宋" w:eastAsia="仿宋_GB2312"/>
          <w:color w:val="auto"/>
        </w:rPr>
        <w:t>www.cpta.com.cn</w:t>
      </w:r>
      <w:r>
        <w:rPr>
          <w:rFonts w:hint="eastAsia" w:ascii="仿宋_GB2312" w:hAnsi="仿宋" w:eastAsia="仿宋_GB2312"/>
          <w:color w:val="auto"/>
          <w:lang w:eastAsia="zh-CN"/>
        </w:rPr>
        <w:t>）</w:t>
      </w:r>
      <w:r>
        <w:rPr>
          <w:rFonts w:hint="eastAsia" w:ascii="仿宋_GB2312" w:hAnsi="仿宋" w:eastAsia="仿宋_GB2312"/>
          <w:color w:val="auto"/>
        </w:rPr>
        <w:t>，注册个人信息并进行网上报名，按要求上传照片并完整、准确提交报名信息。</w:t>
      </w:r>
      <w:r>
        <w:rPr>
          <w:rFonts w:hint="eastAsia" w:ascii="仿宋_GB2312" w:hAnsi="仿宋" w:eastAsia="仿宋_GB2312"/>
          <w:color w:val="auto"/>
          <w:lang w:val="en-US" w:eastAsia="zh-CN"/>
        </w:rPr>
        <w:t xml:space="preserve"> 网上报名系统将对身份信息、学历学位等注册信息进行在线核验，提交注册信息24小时后可登录网上报名系统报名查询核验结果。</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lang w:val="en-US" w:eastAsia="zh-CN"/>
        </w:rPr>
      </w:pPr>
      <w:r>
        <w:rPr>
          <w:rFonts w:hint="eastAsia" w:ascii="仿宋_GB2312" w:hAnsi="仿宋" w:eastAsia="仿宋_GB2312"/>
          <w:color w:val="auto"/>
          <w:lang w:val="en-US" w:eastAsia="zh-CN"/>
        </w:rPr>
        <w:t xml:space="preserve">报考人员应妥善保管好本人用户名及密码，如泄露给他人导致个人信息外泄或填报信息错误，相关后果由本人承担。 </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楷体" w:hAnsi="楷体" w:eastAsia="楷体" w:cs="楷体"/>
          <w:color w:val="auto"/>
        </w:rPr>
      </w:pPr>
      <w:r>
        <w:rPr>
          <w:rFonts w:hint="eastAsia" w:ascii="楷体" w:hAnsi="楷体" w:eastAsia="楷体" w:cs="楷体"/>
          <w:color w:val="auto"/>
        </w:rPr>
        <w:t>（三）资格审查</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rPr>
        <w:t>本考试实行报名证明事项告知承诺制，报考人员对自己提交的报考信息（如工作单位、专业工作年限、学历信息等）及电子证明材料的真实性、有效性、准确性负责</w:t>
      </w:r>
      <w:r>
        <w:rPr>
          <w:rFonts w:hint="eastAsia" w:ascii="仿宋_GB2312" w:hAnsi="仿宋" w:eastAsia="仿宋_GB2312"/>
          <w:color w:val="auto"/>
          <w:lang w:eastAsia="zh-CN"/>
        </w:rPr>
        <w:t>，</w:t>
      </w:r>
      <w:r>
        <w:rPr>
          <w:rFonts w:hint="eastAsia" w:ascii="仿宋_GB2312" w:hAnsi="仿宋" w:eastAsia="仿宋_GB2312"/>
          <w:color w:val="auto"/>
        </w:rPr>
        <w:t>并承担不实承诺的相关责任，不允许代为承诺。报考人员作出承诺后，可在未缴费且报名截止前撤回承诺。报考人员撤回承诺的，本年度该项考试中不再适用告知承诺制。</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rPr>
        <w:t>选择采用且适用告知承诺制方式办理的，报考人员填报信息由系统自动核验，无须人工干预</w:t>
      </w:r>
      <w:r>
        <w:rPr>
          <w:rFonts w:hint="eastAsia" w:ascii="仿宋_GB2312" w:hAnsi="仿宋" w:eastAsia="仿宋_GB2312"/>
          <w:color w:val="auto"/>
          <w:lang w:eastAsia="zh-CN"/>
        </w:rPr>
        <w:t>，</w:t>
      </w:r>
      <w:r>
        <w:rPr>
          <w:rFonts w:hint="eastAsia" w:ascii="仿宋_GB2312" w:hAnsi="仿宋" w:eastAsia="仿宋_GB2312"/>
          <w:color w:val="auto"/>
        </w:rPr>
        <w:t>系统自动核验通过后，报考人员即可进行缴费确认。无法通过系统自动核验的，应按报名系统要求，在线上传相关材料后，核验部门进行人工在线核查</w:t>
      </w:r>
      <w:r>
        <w:rPr>
          <w:rFonts w:hint="eastAsia" w:ascii="仿宋_GB2312" w:hAnsi="仿宋" w:eastAsia="仿宋_GB2312"/>
          <w:color w:val="auto"/>
          <w:lang w:eastAsia="zh-CN"/>
        </w:rPr>
        <w:t>，</w:t>
      </w:r>
      <w:r>
        <w:rPr>
          <w:rFonts w:hint="eastAsia" w:ascii="仿宋_GB2312" w:hAnsi="仿宋" w:eastAsia="仿宋_GB2312"/>
          <w:color w:val="auto"/>
        </w:rPr>
        <w:t>同时核验部门可要求存疑报考人员补充提交相关材料。</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lang w:val="en-US" w:eastAsia="zh-CN"/>
        </w:rPr>
        <w:t>对于不适用告知承诺制方式办理相关事项，撤回承诺申请，身份信息、学历信息、所学专业等无法在线核查或在线核查不通过的报考人员，报考人员须携带相关证明材料到报名点进行人工现场核查，</w:t>
      </w:r>
      <w:r>
        <w:rPr>
          <w:rFonts w:hint="eastAsia" w:ascii="仿宋_GB2312" w:hAnsi="仿宋" w:eastAsia="仿宋_GB2312"/>
          <w:color w:val="auto"/>
        </w:rPr>
        <w:t>未按要求进行人工</w:t>
      </w:r>
      <w:r>
        <w:rPr>
          <w:rFonts w:hint="eastAsia" w:ascii="仿宋_GB2312" w:hAnsi="仿宋" w:eastAsia="仿宋_GB2312"/>
          <w:color w:val="auto"/>
          <w:lang w:eastAsia="zh-CN"/>
        </w:rPr>
        <w:t>现场</w:t>
      </w:r>
      <w:r>
        <w:rPr>
          <w:rFonts w:hint="eastAsia" w:ascii="仿宋_GB2312" w:hAnsi="仿宋" w:eastAsia="仿宋_GB2312"/>
          <w:color w:val="auto"/>
        </w:rPr>
        <w:t>核查的，将按考试报名无效处理。</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rPr>
        <w:t>1</w:t>
      </w:r>
      <w:r>
        <w:rPr>
          <w:rFonts w:hint="eastAsia" w:ascii="仿宋_GB2312" w:hAnsi="仿宋" w:eastAsia="仿宋_GB2312"/>
          <w:color w:val="auto"/>
          <w:lang w:eastAsia="zh-CN"/>
        </w:rPr>
        <w:t>.</w:t>
      </w:r>
      <w:r>
        <w:rPr>
          <w:rFonts w:hint="eastAsia" w:ascii="仿宋_GB2312" w:hAnsi="仿宋" w:eastAsia="仿宋_GB2312"/>
          <w:color w:val="auto"/>
        </w:rPr>
        <w:t>须进行人工在线核查的人员范围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rPr>
        <w:t>（1）在专业技术人员资格考试报名中存在不实承诺行为，或者因严重、特别严重违纪违规行为被记入专业技术人员资格考试诚信档案库且在记录期内的报考人员。</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lang w:val="en-US" w:eastAsia="zh-CN"/>
        </w:rPr>
      </w:pPr>
      <w:r>
        <w:rPr>
          <w:rFonts w:hint="eastAsia" w:ascii="仿宋_GB2312" w:hAnsi="仿宋" w:eastAsia="仿宋_GB2312"/>
          <w:color w:val="auto"/>
        </w:rPr>
        <w:t>（</w:t>
      </w:r>
      <w:r>
        <w:rPr>
          <w:rFonts w:hint="eastAsia" w:ascii="仿宋_GB2312" w:hAnsi="仿宋" w:eastAsia="仿宋_GB2312"/>
          <w:color w:val="auto"/>
          <w:lang w:val="en-US" w:eastAsia="zh-CN"/>
        </w:rPr>
        <w:t>2</w:t>
      </w:r>
      <w:r>
        <w:rPr>
          <w:rFonts w:hint="eastAsia" w:ascii="仿宋_GB2312" w:hAnsi="仿宋" w:eastAsia="仿宋_GB2312"/>
          <w:color w:val="auto"/>
        </w:rPr>
        <w:t>）身份、学历学位信息未通过</w:t>
      </w:r>
      <w:r>
        <w:rPr>
          <w:rFonts w:hint="eastAsia" w:ascii="仿宋_GB2312" w:hAnsi="仿宋" w:eastAsia="仿宋_GB2312"/>
          <w:color w:val="auto"/>
          <w:lang w:eastAsia="zh-CN"/>
        </w:rPr>
        <w:t>系统自动核验</w:t>
      </w:r>
      <w:r>
        <w:rPr>
          <w:rFonts w:hint="eastAsia" w:ascii="仿宋_GB2312" w:hAnsi="仿宋" w:eastAsia="仿宋_GB2312"/>
          <w:color w:val="auto"/>
        </w:rPr>
        <w:t>的报考人员。</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rPr>
        <w:t>（</w:t>
      </w:r>
      <w:r>
        <w:rPr>
          <w:rFonts w:hint="eastAsia" w:ascii="仿宋_GB2312" w:hAnsi="仿宋" w:eastAsia="仿宋_GB2312"/>
          <w:color w:val="auto"/>
          <w:lang w:val="en-US" w:eastAsia="zh-CN"/>
        </w:rPr>
        <w:t>3</w:t>
      </w:r>
      <w:r>
        <w:rPr>
          <w:rFonts w:hint="eastAsia" w:ascii="仿宋_GB2312" w:hAnsi="仿宋" w:eastAsia="仿宋_GB2312"/>
          <w:color w:val="auto"/>
        </w:rPr>
        <w:t>）其他身份证件类型、境外学历学位等无法通过系统自动核验的报考人员。</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rPr>
        <w:t>（</w:t>
      </w:r>
      <w:r>
        <w:rPr>
          <w:rFonts w:hint="eastAsia" w:ascii="仿宋_GB2312" w:hAnsi="仿宋" w:eastAsia="仿宋_GB2312"/>
          <w:color w:val="auto"/>
          <w:lang w:val="en-US" w:eastAsia="zh-CN"/>
        </w:rPr>
        <w:t>4</w:t>
      </w:r>
      <w:r>
        <w:rPr>
          <w:rFonts w:hint="eastAsia" w:ascii="仿宋_GB2312" w:hAnsi="仿宋" w:eastAsia="仿宋_GB2312"/>
          <w:color w:val="auto"/>
        </w:rPr>
        <w:t>）其他报考条件不能通过在线核验的报考人员。</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rPr>
        <w:t>2</w:t>
      </w:r>
      <w:r>
        <w:rPr>
          <w:rFonts w:hint="eastAsia" w:ascii="仿宋_GB2312" w:hAnsi="仿宋" w:eastAsia="仿宋_GB2312"/>
          <w:color w:val="auto"/>
          <w:lang w:eastAsia="zh-CN"/>
        </w:rPr>
        <w:t>.</w:t>
      </w:r>
      <w:r>
        <w:rPr>
          <w:rFonts w:hint="eastAsia" w:ascii="仿宋_GB2312" w:hAnsi="仿宋" w:eastAsia="仿宋_GB2312"/>
          <w:color w:val="auto"/>
        </w:rPr>
        <w:t>人工现场核查方式及需提供的材料</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rPr>
        <w:t>须进行人工现场核查的报考人员应按网上报名系统要求在线上传相关材料，在</w:t>
      </w:r>
      <w:r>
        <w:rPr>
          <w:rFonts w:hint="eastAsia" w:ascii="仿宋_GB2312" w:hAnsi="仿宋" w:eastAsia="仿宋_GB2312"/>
          <w:color w:val="000000" w:themeColor="text1"/>
          <w:lang w:val="en-US" w:eastAsia="zh-CN"/>
          <w14:textFill>
            <w14:solidFill>
              <w14:schemeClr w14:val="tx1"/>
            </w14:solidFill>
          </w14:textFill>
        </w:rPr>
        <w:t>8</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11</w:t>
      </w:r>
      <w:r>
        <w:rPr>
          <w:rFonts w:hint="eastAsia" w:ascii="仿宋_GB2312" w:hAnsi="仿宋" w:eastAsia="仿宋_GB2312"/>
          <w:color w:val="000000" w:themeColor="text1"/>
          <w14:textFill>
            <w14:solidFill>
              <w14:schemeClr w14:val="tx1"/>
            </w14:solidFill>
          </w14:textFill>
        </w:rPr>
        <w:t>日</w:t>
      </w:r>
      <w:r>
        <w:rPr>
          <w:rFonts w:ascii="仿宋_GB2312" w:hAnsi="仿宋" w:eastAsia="仿宋_GB2312"/>
          <w:color w:val="000000" w:themeColor="text1"/>
          <w14:textFill>
            <w14:solidFill>
              <w14:schemeClr w14:val="tx1"/>
            </w14:solidFill>
          </w14:textFill>
        </w:rPr>
        <w:t>9</w:t>
      </w:r>
      <w:r>
        <w:rPr>
          <w:rFonts w:hint="eastAsia" w:ascii="仿宋_GB2312" w:hAnsi="仿宋" w:eastAsia="仿宋_GB2312"/>
          <w:color w:val="000000" w:themeColor="text1"/>
          <w14:textFill>
            <w14:solidFill>
              <w14:schemeClr w14:val="tx1"/>
            </w14:solidFill>
          </w14:textFill>
        </w:rPr>
        <w:t>：</w:t>
      </w:r>
      <w:r>
        <w:rPr>
          <w:rFonts w:ascii="仿宋_GB2312" w:hAnsi="仿宋" w:eastAsia="仿宋_GB2312"/>
          <w:color w:val="000000" w:themeColor="text1"/>
          <w14:textFill>
            <w14:solidFill>
              <w14:schemeClr w14:val="tx1"/>
            </w14:solidFill>
          </w14:textFill>
        </w:rPr>
        <w:t>00</w:t>
      </w:r>
      <w:r>
        <w:rPr>
          <w:rFonts w:hint="eastAsia" w:ascii="仿宋_GB2312" w:hAnsi="仿宋" w:eastAsia="仿宋_GB2312"/>
          <w:color w:val="000000" w:themeColor="text1"/>
          <w14:textFill>
            <w14:solidFill>
              <w14:schemeClr w14:val="tx1"/>
            </w14:solidFill>
          </w14:textFill>
        </w:rPr>
        <w:t>至</w:t>
      </w:r>
      <w:r>
        <w:rPr>
          <w:rFonts w:hint="eastAsia" w:ascii="仿宋_GB2312" w:hAnsi="仿宋" w:eastAsia="仿宋_GB2312"/>
          <w:color w:val="000000" w:themeColor="text1"/>
          <w:lang w:val="en-US" w:eastAsia="zh-CN"/>
          <w14:textFill>
            <w14:solidFill>
              <w14:schemeClr w14:val="tx1"/>
            </w14:solidFill>
          </w14:textFill>
        </w:rPr>
        <w:t>8</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13</w:t>
      </w:r>
      <w:r>
        <w:rPr>
          <w:rFonts w:hint="eastAsia" w:ascii="仿宋_GB2312" w:hAnsi="仿宋" w:eastAsia="仿宋_GB2312"/>
          <w:color w:val="000000" w:themeColor="text1"/>
          <w14:textFill>
            <w14:solidFill>
              <w14:schemeClr w14:val="tx1"/>
            </w14:solidFill>
          </w14:textFill>
        </w:rPr>
        <w:t>日</w:t>
      </w:r>
      <w:r>
        <w:rPr>
          <w:rFonts w:ascii="仿宋_GB2312" w:hAnsi="仿宋" w:eastAsia="仿宋_GB2312"/>
          <w:color w:val="000000" w:themeColor="text1"/>
          <w14:textFill>
            <w14:solidFill>
              <w14:schemeClr w14:val="tx1"/>
            </w14:solidFill>
          </w14:textFill>
        </w:rPr>
        <w:t>17</w:t>
      </w:r>
      <w:r>
        <w:rPr>
          <w:rFonts w:hint="eastAsia" w:ascii="仿宋_GB2312" w:hAnsi="仿宋" w:eastAsia="仿宋_GB2312"/>
          <w:color w:val="000000" w:themeColor="text1"/>
          <w14:textFill>
            <w14:solidFill>
              <w14:schemeClr w14:val="tx1"/>
            </w14:solidFill>
          </w14:textFill>
        </w:rPr>
        <w:t>：</w:t>
      </w:r>
      <w:r>
        <w:rPr>
          <w:rFonts w:ascii="仿宋_GB2312" w:hAnsi="仿宋" w:eastAsia="仿宋_GB2312"/>
          <w:color w:val="000000" w:themeColor="text1"/>
          <w14:textFill>
            <w14:solidFill>
              <w14:schemeClr w14:val="tx1"/>
            </w14:solidFill>
          </w14:textFill>
        </w:rPr>
        <w:t>00</w:t>
      </w:r>
      <w:r>
        <w:rPr>
          <w:rFonts w:hint="eastAsia" w:ascii="仿宋_GB2312" w:hAnsi="仿宋" w:eastAsia="仿宋_GB2312"/>
          <w:color w:val="auto"/>
        </w:rPr>
        <w:t>内携带以下材料到所属报名点办理人工</w:t>
      </w:r>
      <w:r>
        <w:rPr>
          <w:rFonts w:hint="eastAsia" w:ascii="仿宋_GB2312" w:hAnsi="仿宋" w:eastAsia="仿宋_GB2312"/>
          <w:color w:val="auto"/>
          <w:lang w:eastAsia="zh-CN"/>
        </w:rPr>
        <w:t>现场</w:t>
      </w:r>
      <w:r>
        <w:rPr>
          <w:rFonts w:hint="eastAsia" w:ascii="仿宋_GB2312" w:hAnsi="仿宋" w:eastAsia="仿宋_GB2312"/>
          <w:color w:val="auto"/>
        </w:rPr>
        <w:t>核查（各报名点联系方式见附表）：</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rPr>
        <w:t>（1）下载并打印报名表1份，由本人在承诺栏内签名。</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rPr>
        <w:t>（2）身份证原件。</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rPr>
        <w:t>（3）国务院教育行政部门认可的国民教育系列学历、学位证书原件（港澳台居民申请参加考试，在报名时应提交国务院教育行政部门认可符合报考条件的相应专业学历证书原件）。</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rPr>
        <w:t>（4）相关补充材料原件。</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楷体" w:hAnsi="楷体" w:eastAsia="楷体" w:cs="楷体"/>
          <w:color w:val="auto"/>
        </w:rPr>
      </w:pPr>
      <w:r>
        <w:rPr>
          <w:rFonts w:hint="eastAsia" w:ascii="楷体" w:hAnsi="楷体" w:eastAsia="楷体" w:cs="楷体"/>
          <w:color w:val="auto"/>
        </w:rPr>
        <w:t>（四）缴费时间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color w:val="auto"/>
        </w:rPr>
      </w:pPr>
      <w:r>
        <w:rPr>
          <w:rFonts w:hint="eastAsia" w:ascii="仿宋_GB2312" w:hAnsi="仿宋" w:eastAsia="仿宋_GB2312"/>
          <w:color w:val="auto"/>
        </w:rPr>
        <w:t>网上缴费时间为</w:t>
      </w:r>
      <w:r>
        <w:rPr>
          <w:rFonts w:hint="eastAsia" w:ascii="仿宋_GB2312" w:hAnsi="仿宋" w:eastAsia="仿宋_GB2312"/>
          <w:color w:val="auto"/>
          <w:lang w:val="en-US" w:eastAsia="zh-CN"/>
        </w:rPr>
        <w:t>8</w:t>
      </w:r>
      <w:r>
        <w:rPr>
          <w:rFonts w:hint="eastAsia" w:ascii="仿宋_GB2312" w:hAnsi="仿宋" w:eastAsia="仿宋_GB2312"/>
          <w:color w:val="auto"/>
        </w:rPr>
        <w:t>月</w:t>
      </w:r>
      <w:r>
        <w:rPr>
          <w:rFonts w:hint="eastAsia" w:ascii="仿宋_GB2312" w:hAnsi="仿宋" w:eastAsia="仿宋_GB2312"/>
          <w:color w:val="auto"/>
          <w:lang w:val="en-US" w:eastAsia="zh-CN"/>
        </w:rPr>
        <w:t>2</w:t>
      </w:r>
      <w:r>
        <w:rPr>
          <w:rFonts w:hint="eastAsia" w:ascii="仿宋_GB2312" w:hAnsi="仿宋" w:eastAsia="仿宋_GB2312"/>
          <w:color w:val="auto"/>
        </w:rPr>
        <w:t>日</w:t>
      </w:r>
      <w:r>
        <w:rPr>
          <w:rFonts w:ascii="仿宋_GB2312" w:hAnsi="仿宋" w:eastAsia="仿宋_GB2312"/>
          <w:color w:val="auto"/>
        </w:rPr>
        <w:t xml:space="preserve"> 9</w:t>
      </w:r>
      <w:r>
        <w:rPr>
          <w:rFonts w:hint="eastAsia" w:ascii="仿宋_GB2312" w:hAnsi="仿宋" w:eastAsia="仿宋_GB2312"/>
          <w:color w:val="auto"/>
        </w:rPr>
        <w:t>：</w:t>
      </w:r>
      <w:r>
        <w:rPr>
          <w:rFonts w:ascii="仿宋_GB2312" w:hAnsi="仿宋" w:eastAsia="仿宋_GB2312"/>
          <w:color w:val="auto"/>
        </w:rPr>
        <w:t>00</w:t>
      </w:r>
      <w:r>
        <w:rPr>
          <w:rFonts w:hint="eastAsia" w:ascii="仿宋_GB2312" w:hAnsi="仿宋" w:eastAsia="仿宋_GB2312"/>
          <w:color w:val="auto"/>
        </w:rPr>
        <w:t>至</w:t>
      </w:r>
      <w:r>
        <w:rPr>
          <w:rFonts w:hint="eastAsia" w:ascii="仿宋_GB2312" w:hAnsi="仿宋" w:eastAsia="仿宋_GB2312"/>
          <w:color w:val="auto"/>
          <w:lang w:val="en-US" w:eastAsia="zh-CN"/>
        </w:rPr>
        <w:t>8</w:t>
      </w:r>
      <w:r>
        <w:rPr>
          <w:rFonts w:hint="eastAsia" w:ascii="仿宋_GB2312" w:hAnsi="仿宋" w:eastAsia="仿宋_GB2312"/>
          <w:color w:val="auto"/>
        </w:rPr>
        <w:t>月</w:t>
      </w:r>
      <w:r>
        <w:rPr>
          <w:rFonts w:hint="eastAsia" w:ascii="仿宋_GB2312" w:hAnsi="仿宋" w:eastAsia="仿宋_GB2312"/>
          <w:color w:val="auto"/>
          <w:lang w:val="en-US" w:eastAsia="zh-CN"/>
        </w:rPr>
        <w:t>17</w:t>
      </w:r>
      <w:r>
        <w:rPr>
          <w:rFonts w:hint="eastAsia" w:ascii="仿宋_GB2312" w:hAnsi="仿宋" w:eastAsia="仿宋_GB2312"/>
          <w:color w:val="auto"/>
        </w:rPr>
        <w:t>日</w:t>
      </w:r>
      <w:r>
        <w:rPr>
          <w:rFonts w:ascii="仿宋_GB2312" w:hAnsi="仿宋" w:eastAsia="仿宋_GB2312"/>
          <w:color w:val="auto"/>
        </w:rPr>
        <w:t>17</w:t>
      </w:r>
      <w:r>
        <w:rPr>
          <w:rFonts w:hint="eastAsia" w:ascii="仿宋_GB2312" w:hAnsi="仿宋" w:eastAsia="仿宋_GB2312"/>
          <w:color w:val="auto"/>
        </w:rPr>
        <w:t>：</w:t>
      </w:r>
      <w:r>
        <w:rPr>
          <w:rFonts w:ascii="仿宋_GB2312" w:hAnsi="仿宋" w:eastAsia="仿宋_GB2312"/>
          <w:color w:val="auto"/>
        </w:rPr>
        <w:t>00</w:t>
      </w:r>
      <w:r>
        <w:rPr>
          <w:rFonts w:hint="eastAsia" w:ascii="仿宋_GB2312" w:hAnsi="仿宋" w:eastAsia="仿宋_GB2312"/>
          <w:color w:val="auto"/>
        </w:rPr>
        <w:t>。</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color w:val="auto"/>
        </w:rPr>
      </w:pPr>
      <w:r>
        <w:rPr>
          <w:rFonts w:hint="eastAsia" w:ascii="仿宋_GB2312" w:hAnsi="仿宋" w:eastAsia="仿宋_GB2312"/>
        </w:rPr>
        <w:t>考生在规定时间内进入报名网站，按照提示步骤进行网上缴费。考试收费标准按《福建省发展和改革委员会</w:t>
      </w:r>
      <w:r>
        <w:rPr>
          <w:rFonts w:hint="eastAsia" w:ascii="仿宋_GB2312" w:hAnsi="仿宋" w:eastAsia="仿宋_GB2312"/>
          <w:lang w:val="en-US" w:eastAsia="zh-CN"/>
        </w:rPr>
        <w:t xml:space="preserve"> </w:t>
      </w:r>
      <w:r>
        <w:rPr>
          <w:rFonts w:hint="eastAsia" w:ascii="仿宋_GB2312" w:hAnsi="仿宋" w:eastAsia="仿宋_GB2312"/>
        </w:rPr>
        <w:t>福建省财政厅关于重新制定统计专业技术资格考试费收费标准的函》（闽发改价格函〔</w:t>
      </w:r>
      <w:r>
        <w:rPr>
          <w:rFonts w:ascii="仿宋_GB2312" w:hAnsi="仿宋" w:eastAsia="仿宋_GB2312"/>
        </w:rPr>
        <w:t>2019</w:t>
      </w:r>
      <w:r>
        <w:rPr>
          <w:rFonts w:hint="eastAsia" w:ascii="仿宋_GB2312" w:hAnsi="仿宋" w:eastAsia="仿宋_GB2312"/>
        </w:rPr>
        <w:t>〕</w:t>
      </w:r>
      <w:r>
        <w:rPr>
          <w:rFonts w:ascii="仿宋_GB2312" w:hAnsi="仿宋" w:eastAsia="仿宋_GB2312"/>
        </w:rPr>
        <w:t>145</w:t>
      </w:r>
      <w:r>
        <w:rPr>
          <w:rFonts w:hint="eastAsia" w:ascii="仿宋_GB2312" w:hAnsi="仿宋" w:eastAsia="仿宋_GB2312"/>
        </w:rPr>
        <w:t>号）规定的标准执行</w:t>
      </w:r>
      <w:r>
        <w:rPr>
          <w:rFonts w:hint="eastAsia" w:ascii="仿宋_GB2312" w:hAnsi="仿宋" w:eastAsia="仿宋_GB2312"/>
          <w:color w:val="auto"/>
        </w:rPr>
        <w:t>，初级每人每期</w:t>
      </w:r>
      <w:r>
        <w:rPr>
          <w:rFonts w:ascii="仿宋_GB2312" w:hAnsi="仿宋" w:eastAsia="仿宋_GB2312"/>
          <w:color w:val="auto"/>
        </w:rPr>
        <w:t>120</w:t>
      </w:r>
      <w:r>
        <w:rPr>
          <w:rFonts w:hint="eastAsia" w:ascii="仿宋_GB2312" w:hAnsi="仿宋" w:eastAsia="仿宋_GB2312"/>
          <w:color w:val="auto"/>
        </w:rPr>
        <w:t>元，中级每人每期</w:t>
      </w:r>
      <w:r>
        <w:rPr>
          <w:rFonts w:ascii="仿宋_GB2312" w:hAnsi="仿宋" w:eastAsia="仿宋_GB2312"/>
          <w:color w:val="auto"/>
        </w:rPr>
        <w:t>126</w:t>
      </w:r>
      <w:r>
        <w:rPr>
          <w:rFonts w:hint="eastAsia" w:ascii="仿宋_GB2312" w:hAnsi="仿宋" w:eastAsia="仿宋_GB2312"/>
          <w:color w:val="auto"/>
        </w:rPr>
        <w:t>元，高级暂不收费。</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rPr>
        <w:t>通过资格审查的考生必须按时缴费，在规定时间内未缴费的，视为自动放弃考试。</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楷体" w:hAnsi="楷体" w:eastAsia="楷体" w:cs="楷体"/>
          <w:color w:val="auto"/>
        </w:rPr>
      </w:pPr>
      <w:r>
        <w:rPr>
          <w:rFonts w:hint="eastAsia" w:ascii="楷体" w:hAnsi="楷体" w:eastAsia="楷体" w:cs="楷体"/>
          <w:color w:val="auto"/>
          <w:lang w:eastAsia="zh-CN"/>
        </w:rPr>
        <w:t>（五）</w:t>
      </w:r>
      <w:r>
        <w:rPr>
          <w:rFonts w:hint="eastAsia" w:ascii="楷体" w:hAnsi="楷体" w:eastAsia="楷体" w:cs="楷体"/>
          <w:color w:val="auto"/>
        </w:rPr>
        <w:t>打印准考证时间</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rPr>
      </w:pPr>
      <w:r>
        <w:rPr>
          <w:rFonts w:hint="eastAsia" w:ascii="仿宋_GB2312" w:hAnsi="仿宋" w:eastAsia="仿宋_GB2312"/>
          <w:color w:val="auto"/>
          <w:lang w:eastAsia="zh-CN"/>
        </w:rPr>
        <w:t>202</w:t>
      </w:r>
      <w:r>
        <w:rPr>
          <w:rFonts w:hint="eastAsia" w:ascii="仿宋_GB2312" w:hAnsi="仿宋" w:eastAsia="仿宋_GB2312"/>
          <w:color w:val="auto"/>
          <w:lang w:val="en-US" w:eastAsia="zh-CN"/>
        </w:rPr>
        <w:t>1</w:t>
      </w:r>
      <w:r>
        <w:rPr>
          <w:rFonts w:hint="eastAsia" w:ascii="仿宋_GB2312" w:hAnsi="仿宋" w:eastAsia="仿宋_GB2312"/>
          <w:color w:val="auto"/>
        </w:rPr>
        <w:t>年</w:t>
      </w:r>
      <w:r>
        <w:rPr>
          <w:rFonts w:ascii="仿宋_GB2312" w:hAnsi="仿宋" w:eastAsia="仿宋_GB2312"/>
          <w:color w:val="auto"/>
        </w:rPr>
        <w:t>10</w:t>
      </w:r>
      <w:r>
        <w:rPr>
          <w:rFonts w:hint="eastAsia" w:ascii="仿宋_GB2312" w:hAnsi="仿宋" w:eastAsia="仿宋_GB2312"/>
          <w:color w:val="auto"/>
        </w:rPr>
        <w:t>月</w:t>
      </w:r>
      <w:r>
        <w:rPr>
          <w:rFonts w:ascii="仿宋_GB2312" w:hAnsi="仿宋" w:eastAsia="仿宋_GB2312"/>
          <w:color w:val="auto"/>
        </w:rPr>
        <w:t>1</w:t>
      </w:r>
      <w:r>
        <w:rPr>
          <w:rFonts w:hint="eastAsia" w:ascii="仿宋_GB2312" w:hAnsi="仿宋" w:eastAsia="仿宋_GB2312"/>
          <w:color w:val="auto"/>
          <w:lang w:val="en-US" w:eastAsia="zh-CN"/>
        </w:rPr>
        <w:t>1</w:t>
      </w:r>
      <w:r>
        <w:rPr>
          <w:rFonts w:hint="eastAsia" w:ascii="仿宋_GB2312" w:hAnsi="仿宋" w:eastAsia="仿宋_GB2312"/>
          <w:color w:val="auto"/>
        </w:rPr>
        <w:t>日</w:t>
      </w:r>
      <w:r>
        <w:rPr>
          <w:rFonts w:ascii="仿宋_GB2312" w:hAnsi="仿宋" w:eastAsia="仿宋_GB2312"/>
          <w:color w:val="auto"/>
        </w:rPr>
        <w:t>9</w:t>
      </w:r>
      <w:r>
        <w:rPr>
          <w:rFonts w:hint="eastAsia" w:ascii="仿宋_GB2312" w:hAnsi="仿宋" w:eastAsia="仿宋_GB2312"/>
          <w:color w:val="auto"/>
        </w:rPr>
        <w:t>：</w:t>
      </w:r>
      <w:r>
        <w:rPr>
          <w:rFonts w:ascii="仿宋_GB2312" w:hAnsi="仿宋" w:eastAsia="仿宋_GB2312"/>
          <w:color w:val="auto"/>
        </w:rPr>
        <w:t>00</w:t>
      </w:r>
      <w:r>
        <w:rPr>
          <w:rFonts w:hint="eastAsia" w:ascii="仿宋_GB2312" w:hAnsi="仿宋" w:eastAsia="仿宋_GB2312"/>
          <w:color w:val="auto"/>
        </w:rPr>
        <w:t>至</w:t>
      </w:r>
      <w:r>
        <w:rPr>
          <w:rFonts w:ascii="仿宋_GB2312" w:hAnsi="仿宋" w:eastAsia="仿宋_GB2312"/>
          <w:color w:val="auto"/>
        </w:rPr>
        <w:t>10</w:t>
      </w:r>
      <w:r>
        <w:rPr>
          <w:rFonts w:hint="eastAsia" w:ascii="仿宋_GB2312" w:hAnsi="仿宋" w:eastAsia="仿宋_GB2312"/>
          <w:color w:val="auto"/>
        </w:rPr>
        <w:t>月</w:t>
      </w:r>
      <w:r>
        <w:rPr>
          <w:rFonts w:ascii="仿宋_GB2312" w:hAnsi="仿宋" w:eastAsia="仿宋_GB2312"/>
          <w:color w:val="auto"/>
        </w:rPr>
        <w:t>1</w:t>
      </w:r>
      <w:r>
        <w:rPr>
          <w:rFonts w:hint="eastAsia" w:ascii="仿宋_GB2312" w:hAnsi="仿宋" w:eastAsia="仿宋_GB2312"/>
          <w:color w:val="auto"/>
          <w:lang w:val="en-US" w:eastAsia="zh-CN"/>
        </w:rPr>
        <w:t>6</w:t>
      </w:r>
      <w:r>
        <w:rPr>
          <w:rFonts w:hint="eastAsia" w:ascii="仿宋_GB2312" w:hAnsi="仿宋" w:eastAsia="仿宋_GB2312"/>
          <w:color w:val="auto"/>
        </w:rPr>
        <w:t>日</w:t>
      </w:r>
      <w:r>
        <w:rPr>
          <w:rFonts w:ascii="仿宋_GB2312" w:hAnsi="仿宋" w:eastAsia="仿宋_GB2312"/>
          <w:color w:val="auto"/>
        </w:rPr>
        <w:t>17</w:t>
      </w:r>
      <w:r>
        <w:rPr>
          <w:rFonts w:hint="eastAsia" w:ascii="仿宋_GB2312" w:hAnsi="仿宋" w:eastAsia="仿宋_GB2312"/>
          <w:color w:val="auto"/>
        </w:rPr>
        <w:t>：</w:t>
      </w:r>
      <w:r>
        <w:rPr>
          <w:rFonts w:ascii="仿宋_GB2312" w:hAnsi="仿宋" w:eastAsia="仿宋_GB2312"/>
          <w:color w:val="auto"/>
        </w:rPr>
        <w:t>00</w:t>
      </w:r>
      <w:r>
        <w:rPr>
          <w:rFonts w:hint="eastAsia" w:ascii="仿宋_GB2312" w:hAnsi="仿宋" w:eastAsia="仿宋_GB2312"/>
          <w:color w:val="auto"/>
        </w:rPr>
        <w:t>，网上已缴费考生登录报名网站自行打印准考证。</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楷体" w:hAnsi="楷体" w:eastAsia="楷体" w:cs="楷体"/>
          <w:color w:val="auto"/>
          <w:lang w:val="en-US" w:eastAsia="zh-CN"/>
        </w:rPr>
      </w:pPr>
      <w:r>
        <w:rPr>
          <w:rFonts w:hint="eastAsia" w:ascii="楷体" w:hAnsi="楷体" w:eastAsia="楷体" w:cs="楷体"/>
          <w:color w:val="auto"/>
          <w:lang w:val="en-US" w:eastAsia="zh-CN"/>
        </w:rPr>
        <w:t>（六）成绩查询</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color w:val="auto"/>
          <w:lang w:val="en-US" w:eastAsia="zh-CN"/>
        </w:rPr>
      </w:pPr>
      <w:r>
        <w:rPr>
          <w:rFonts w:hint="eastAsia" w:ascii="仿宋_GB2312" w:hAnsi="仿宋" w:eastAsia="仿宋_GB2312"/>
          <w:color w:val="auto"/>
          <w:lang w:val="en-US" w:eastAsia="zh-CN"/>
        </w:rPr>
        <w:t>考试成绩查询服务将于考试结束后两个月在网上开通，届时考生可登陆中国人事考试网</w:t>
      </w:r>
      <w:r>
        <w:rPr>
          <w:rFonts w:hint="eastAsia" w:ascii="仿宋_GB2312" w:hAnsi="仿宋" w:eastAsia="仿宋_GB2312"/>
          <w:lang w:eastAsia="zh-CN"/>
        </w:rPr>
        <w:t>（</w:t>
      </w:r>
      <w:r>
        <w:rPr>
          <w:rFonts w:ascii="仿宋_GB2312" w:hAnsi="仿宋" w:eastAsia="仿宋_GB2312"/>
        </w:rPr>
        <w:t>www.cpta.com.cn</w:t>
      </w:r>
      <w:r>
        <w:rPr>
          <w:rFonts w:hint="eastAsia" w:ascii="仿宋_GB2312" w:hAnsi="仿宋" w:eastAsia="仿宋_GB2312"/>
          <w:lang w:eastAsia="zh-CN"/>
        </w:rPr>
        <w:t>）</w:t>
      </w:r>
      <w:r>
        <w:rPr>
          <w:rFonts w:hint="eastAsia" w:ascii="仿宋_GB2312" w:hAnsi="仿宋" w:eastAsia="仿宋_GB2312"/>
          <w:color w:val="auto"/>
          <w:lang w:val="en-US" w:eastAsia="zh-CN"/>
        </w:rPr>
        <w:t>查询考试成绩。</w:t>
      </w:r>
    </w:p>
    <w:p>
      <w:pPr>
        <w:keepNext w:val="0"/>
        <w:keepLines w:val="0"/>
        <w:pageBreakBefore w:val="0"/>
        <w:widowControl w:val="0"/>
        <w:numPr>
          <w:ilvl w:val="0"/>
          <w:numId w:val="1"/>
        </w:numPr>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黑体" w:hAnsi="黑体" w:eastAsia="黑体" w:cs="黑体"/>
          <w:color w:val="auto"/>
          <w:lang w:val="en-US" w:eastAsia="zh-CN"/>
        </w:rPr>
      </w:pPr>
      <w:r>
        <w:rPr>
          <w:rFonts w:hint="eastAsia" w:ascii="黑体" w:hAnsi="黑体" w:eastAsia="黑体" w:cs="黑体"/>
          <w:color w:val="auto"/>
          <w:lang w:val="en-US" w:eastAsia="zh-CN"/>
        </w:rPr>
        <w:t>考后管理</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黑体" w:hAnsi="仿宋" w:eastAsia="黑体"/>
        </w:rPr>
      </w:pPr>
      <w:r>
        <w:rPr>
          <w:rFonts w:hint="eastAsia" w:ascii="仿宋_GB2312" w:hAnsi="仿宋" w:eastAsia="仿宋_GB2312"/>
          <w:color w:val="auto"/>
          <w:lang w:val="en-US" w:eastAsia="zh-CN"/>
        </w:rPr>
        <w:t>陈</w:t>
      </w:r>
      <w:r>
        <w:rPr>
          <w:rFonts w:hint="eastAsia" w:ascii="黑体" w:hAnsi="仿宋" w:eastAsia="黑体"/>
          <w:lang w:eastAsia="zh-CN"/>
        </w:rPr>
        <w:t>五</w:t>
      </w:r>
      <w:r>
        <w:rPr>
          <w:rFonts w:hint="eastAsia" w:ascii="黑体" w:hAnsi="仿宋" w:eastAsia="黑体"/>
        </w:rPr>
        <w:t>、考试大纲</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rPr>
        <w:t>202</w:t>
      </w:r>
      <w:r>
        <w:rPr>
          <w:rFonts w:hint="eastAsia" w:ascii="仿宋_GB2312" w:hAnsi="仿宋" w:eastAsia="仿宋_GB2312"/>
          <w:lang w:val="en-US" w:eastAsia="zh-CN"/>
        </w:rPr>
        <w:t>1</w:t>
      </w:r>
      <w:r>
        <w:rPr>
          <w:rFonts w:hint="eastAsia" w:ascii="仿宋_GB2312" w:hAnsi="仿宋" w:eastAsia="仿宋_GB2312"/>
        </w:rPr>
        <w:t>年</w:t>
      </w:r>
      <w:r>
        <w:rPr>
          <w:rFonts w:hint="eastAsia" w:ascii="仿宋_GB2312" w:hAnsi="仿宋" w:eastAsia="仿宋_GB2312"/>
          <w:lang w:eastAsia="zh-CN"/>
        </w:rPr>
        <w:t>度</w:t>
      </w:r>
      <w:r>
        <w:rPr>
          <w:rFonts w:hint="eastAsia" w:ascii="仿宋_GB2312" w:hAnsi="仿宋" w:eastAsia="仿宋_GB2312"/>
        </w:rPr>
        <w:t>统计专业技术初级、中级、高级资格考试</w:t>
      </w:r>
      <w:r>
        <w:rPr>
          <w:rFonts w:hint="eastAsia" w:ascii="仿宋_GB2312" w:hAnsi="仿宋" w:eastAsia="仿宋_GB2312"/>
          <w:lang w:eastAsia="zh-CN"/>
        </w:rPr>
        <w:t>使用新的考试大纲，新考试</w:t>
      </w:r>
      <w:r>
        <w:rPr>
          <w:rFonts w:hint="eastAsia" w:ascii="仿宋_GB2312" w:hAnsi="仿宋" w:eastAsia="仿宋_GB2312"/>
        </w:rPr>
        <w:t>大纲已在国家统计局官网主页“网上办事”栏目内的“统计专业技术资格考试”专栏（http://www.stats.gov.cn/tjfw/tjzyjszgks）</w:t>
      </w:r>
      <w:r>
        <w:rPr>
          <w:rFonts w:hint="eastAsia" w:ascii="仿宋_GB2312" w:hAnsi="仿宋" w:eastAsia="仿宋_GB2312"/>
          <w:lang w:eastAsia="zh-CN"/>
        </w:rPr>
        <w:t>公布</w:t>
      </w:r>
      <w:r>
        <w:rPr>
          <w:rFonts w:hint="eastAsia" w:ascii="仿宋_GB2312" w:hAnsi="仿宋" w:eastAsia="仿宋_GB2312"/>
        </w:rPr>
        <w:t>。</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黑体" w:hAnsi="仿宋" w:eastAsia="黑体"/>
        </w:rPr>
      </w:pPr>
      <w:r>
        <w:rPr>
          <w:rFonts w:hint="eastAsia" w:ascii="黑体" w:hAnsi="仿宋" w:eastAsia="黑体"/>
          <w:lang w:eastAsia="zh-CN"/>
        </w:rPr>
        <w:t>六</w:t>
      </w:r>
      <w:r>
        <w:rPr>
          <w:rFonts w:hint="eastAsia" w:ascii="黑体" w:hAnsi="仿宋" w:eastAsia="黑体"/>
        </w:rPr>
        <w:t>、考场设置和作答要求</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color w:val="auto"/>
        </w:rPr>
      </w:pPr>
      <w:r>
        <w:rPr>
          <w:rFonts w:hint="eastAsia" w:ascii="仿宋_GB2312" w:hAnsi="仿宋" w:eastAsia="仿宋_GB2312"/>
          <w:b/>
          <w:bCs/>
          <w:color w:val="auto"/>
        </w:rPr>
        <w:t>厦门初级、中级所在地考生</w:t>
      </w:r>
      <w:r>
        <w:rPr>
          <w:rFonts w:hint="eastAsia" w:ascii="仿宋_GB2312" w:hAnsi="仿宋" w:eastAsia="仿宋_GB2312"/>
          <w:b/>
          <w:bCs/>
          <w:color w:val="auto"/>
          <w:lang w:eastAsia="zh-CN"/>
        </w:rPr>
        <w:t>（审核地点选择厦门考生）</w:t>
      </w:r>
      <w:r>
        <w:rPr>
          <w:rFonts w:hint="eastAsia" w:ascii="仿宋_GB2312" w:hAnsi="仿宋" w:eastAsia="仿宋_GB2312"/>
          <w:color w:val="auto"/>
        </w:rPr>
        <w:t>集中在厦门本地考试，其他考生均统一集中在福州考试，具体考试地点</w:t>
      </w:r>
      <w:r>
        <w:rPr>
          <w:rFonts w:hint="eastAsia" w:ascii="仿宋_GB2312" w:hAnsi="仿宋" w:eastAsia="仿宋_GB2312"/>
          <w:color w:val="auto"/>
          <w:lang w:eastAsia="zh-CN"/>
        </w:rPr>
        <w:t>见准考证</w:t>
      </w:r>
      <w:r>
        <w:rPr>
          <w:rFonts w:hint="eastAsia" w:ascii="仿宋_GB2312" w:hAnsi="仿宋" w:eastAsia="仿宋_GB2312"/>
          <w:color w:val="auto"/>
        </w:rPr>
        <w:t>。</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rPr>
      </w:pPr>
      <w:r>
        <w:rPr>
          <w:rFonts w:hint="eastAsia" w:ascii="仿宋_GB2312" w:hAnsi="仿宋" w:eastAsia="仿宋_GB2312"/>
        </w:rPr>
        <w:t>考生应考时，须携带黑色签字笔、</w:t>
      </w:r>
      <w:r>
        <w:rPr>
          <w:rFonts w:ascii="仿宋_GB2312" w:hAnsi="仿宋" w:eastAsia="仿宋_GB2312"/>
        </w:rPr>
        <w:t>2B</w:t>
      </w:r>
      <w:r>
        <w:rPr>
          <w:rFonts w:hint="eastAsia" w:ascii="仿宋_GB2312" w:hAnsi="仿宋" w:eastAsia="仿宋_GB2312"/>
        </w:rPr>
        <w:t>铅笔、橡皮，可携带无声无文本编辑和存储功能的计算器；初、中级考试均为客观性试题；高级资格考试为主观性试题，考生可以携带相关纸质参考书籍、资料。</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黑体" w:hAnsi="仿宋" w:eastAsia="黑体"/>
        </w:rPr>
      </w:pPr>
      <w:r>
        <w:rPr>
          <w:rFonts w:hint="eastAsia" w:ascii="黑体" w:hAnsi="仿宋" w:eastAsia="黑体"/>
          <w:lang w:eastAsia="zh-CN"/>
        </w:rPr>
        <w:t>七</w:t>
      </w:r>
      <w:r>
        <w:rPr>
          <w:rFonts w:hint="eastAsia" w:ascii="黑体" w:hAnsi="仿宋" w:eastAsia="黑体"/>
        </w:rPr>
        <w:t>、考试组织工作</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rPr>
      </w:pPr>
      <w:r>
        <w:rPr>
          <w:rFonts w:hint="eastAsia" w:ascii="仿宋_GB2312" w:hAnsi="仿宋" w:eastAsia="仿宋_GB2312"/>
        </w:rPr>
        <w:t>考风考纪是考试管理工作中的重要环节，是保证考试成绩真实有效的关键。要强化考试管理和保密意识，提高服务质量，严格考试纪律，确保考试各个环节工作的顺利进行。要在考点入口处等明显位置张贴考场规则和《专业技术人员资格考试违纪违规行为处理规定》（人社部第</w:t>
      </w:r>
      <w:r>
        <w:rPr>
          <w:rFonts w:ascii="仿宋_GB2312" w:hAnsi="仿宋" w:eastAsia="仿宋_GB2312"/>
        </w:rPr>
        <w:t>31</w:t>
      </w:r>
      <w:r>
        <w:rPr>
          <w:rFonts w:hint="eastAsia" w:ascii="仿宋_GB2312" w:hAnsi="仿宋" w:eastAsia="仿宋_GB2312"/>
        </w:rPr>
        <w:t>号令）。对违反考试纪律的，按照规定严肃处理。</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ascii="仿宋_GB2312" w:hAnsi="仿宋" w:eastAsia="仿宋_GB2312"/>
        </w:rPr>
      </w:pPr>
      <w:r>
        <w:rPr>
          <w:rFonts w:hint="eastAsia" w:ascii="仿宋_GB2312" w:hAnsi="仿宋" w:eastAsia="仿宋_GB2312"/>
        </w:rPr>
        <w:t>各地统计、人社部门要紧密配合，按照省里的部署和要求切实做好报名的宣传、组织工作。各地统计部门要认真细致审核报考考生相关信息，及时解答考生问题。</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w:rPr>
          <w:rFonts w:hint="eastAsia" w:ascii="仿宋_GB2312" w:hAnsi="仿宋" w:eastAsia="仿宋_GB2312"/>
        </w:rPr>
        <w:t>联系电话</w:t>
      </w:r>
      <w:r>
        <w:rPr>
          <w:rFonts w:ascii="仿宋_GB2312" w:hAnsi="仿宋" w:eastAsia="仿宋_GB2312"/>
        </w:rPr>
        <w:t>:0591-88019352</w:t>
      </w:r>
      <w:r>
        <w:rPr>
          <w:rFonts w:hint="eastAsia" w:ascii="仿宋_GB2312" w:hAnsi="仿宋" w:eastAsia="仿宋_GB2312"/>
        </w:rPr>
        <w:t>。</w:t>
      </w: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p>
    <w:p>
      <w:pPr>
        <w:keepNext w:val="0"/>
        <w:keepLines w:val="0"/>
        <w:pageBreakBefore w:val="0"/>
        <w:widowControl w:val="0"/>
        <w:kinsoku/>
        <w:wordWrap/>
        <w:overflowPunct/>
        <w:topLinePunct w:val="0"/>
        <w:autoSpaceDE/>
        <w:autoSpaceDN/>
        <w:bidi w:val="0"/>
        <w:adjustRightInd w:val="0"/>
        <w:snapToGrid/>
        <w:spacing w:line="240" w:lineRule="auto"/>
        <w:ind w:left="0" w:right="0" w:rightChars="0" w:firstLine="632" w:firstLineChars="200"/>
        <w:jc w:val="both"/>
        <w:textAlignment w:val="auto"/>
        <w:outlineLvl w:val="9"/>
        <w:rPr>
          <w:rFonts w:hint="eastAsia" w:ascii="仿宋_GB2312" w:hAnsi="仿宋" w:eastAsia="仿宋_GB2312"/>
        </w:rPr>
      </w:pPr>
      <w:r>
        <mc:AlternateContent>
          <mc:Choice Requires="wps">
            <w:drawing>
              <wp:anchor distT="0" distB="0" distL="114300" distR="114300" simplePos="0" relativeHeight="251664384" behindDoc="0" locked="0" layoutInCell="1" allowOverlap="1">
                <wp:simplePos x="0" y="0"/>
                <wp:positionH relativeFrom="column">
                  <wp:posOffset>200660</wp:posOffset>
                </wp:positionH>
                <wp:positionV relativeFrom="paragraph">
                  <wp:posOffset>320675</wp:posOffset>
                </wp:positionV>
                <wp:extent cx="2508250" cy="761365"/>
                <wp:effectExtent l="0" t="0" r="0" b="0"/>
                <wp:wrapNone/>
                <wp:docPr id="5" name="文本框 8"/>
                <wp:cNvGraphicFramePr/>
                <a:graphic xmlns:a="http://schemas.openxmlformats.org/drawingml/2006/main">
                  <a:graphicData uri="http://schemas.microsoft.com/office/word/2010/wordprocessingShape">
                    <wps:wsp>
                      <wps:cNvSpPr txBox="1"/>
                      <wps:spPr>
                        <a:xfrm>
                          <a:off x="0" y="0"/>
                          <a:ext cx="2508250" cy="761365"/>
                        </a:xfrm>
                        <a:prstGeom prst="rect">
                          <a:avLst/>
                        </a:prstGeom>
                        <a:noFill/>
                        <a:ln>
                          <a:noFill/>
                        </a:ln>
                      </wps:spPr>
                      <wps:txbx>
                        <w:txbxContent>
                          <w:p>
                            <w:pPr>
                              <w:snapToGrid w:val="0"/>
                              <w:jc w:val="center"/>
                            </w:pPr>
                            <w:r>
                              <w:rPr>
                                <w:rFonts w:hint="eastAsia" w:ascii="仿宋_GB2312" w:hAnsi="宋体" w:eastAsia="仿宋_GB2312"/>
                              </w:rPr>
                              <w:t>福建省统计专业职务资格考试领导小组办公室</w:t>
                            </w:r>
                          </w:p>
                        </w:txbxContent>
                      </wps:txbx>
                      <wps:bodyPr upright="1"/>
                    </wps:wsp>
                  </a:graphicData>
                </a:graphic>
              </wp:anchor>
            </w:drawing>
          </mc:Choice>
          <mc:Fallback>
            <w:pict>
              <v:shape id="文本框 8" o:spid="_x0000_s1026" o:spt="202" type="#_x0000_t202" style="position:absolute;left:0pt;margin-left:15.8pt;margin-top:25.25pt;height:59.95pt;width:197.5pt;z-index:251664384;mso-width-relative:page;mso-height-relative:page;" filled="f" stroked="f" coordsize="21600,21600" o:gfxdata="UEsDBAoAAAAAAIdO4kAAAAAAAAAAAAAAAAAEAAAAZHJzL1BLAwQUAAAACACHTuJAtFDJx9YAAAAJ&#10;AQAADwAAAGRycy9kb3ducmV2LnhtbE2PTU/DMAyG70j7D5EncWNJR1ugNN1hE1cQ40PiljVeW9E4&#10;VZOt5d9jTuxov49ePy43s+vFGcfQedKQrBQIpNrbjhoN729PN/cgQjRkTe8JNfxggE21uCpNYf1E&#10;r3jex0ZwCYXCaGhjHAopQ92iM2HlByTOjn50JvI4NtKOZuJy18u1Url0piO+0JoBty3W3/uT0/Dx&#10;fPz6TNVLs3PZMPlZSXIPUuvrZaIeQUSc4z8Mf/qsDhU7HfyJbBC9htskZ1JDpjIQnKfrnBcHBu9U&#10;CrIq5eUH1S9QSwMEFAAAAAgAh07iQCH0y5GPAQAAAAMAAA4AAABkcnMvZTJvRG9jLnhtbK1SS04j&#10;MRDdI3EHy3viTlBC1EoHCSHYoAEJOIDjttOW2i7LNunOBYYbzGo27DlXzkHZ+fDbIRZdbVeVn997&#10;5dl5b1qykj5osBUdDgpKpBVQa7us6OPD1cmUkhC5rXkLVlZ0LQM9nx8fzTpXyhE00NbSEwSxoexc&#10;RZsYXclYEI00PAzASYtFBd7wiFu/ZLXnHaKblo2KYsI68LXzIGQImL3cFuk84yslRbxVKshI2ooi&#10;t5ijz3GRIpvPeLn03DVa7GjwH7AwXFu89AB1ySMnT15/gzJaeAig4kCAYaCUFjJrQDXD4oua+4Y7&#10;mbWgOcEdbAq/Byv+rO480XVFx5RYbnBEm3/Pm/+vm5e/ZJrs6VwoseveYV/sL6DHMe/zAZNJda+8&#10;SX/UQ7CORq8P5so+EoHJ0biY4keJwNrZZHg6GScY9n7a+RCvJRiSFhX1OLzsKV/dhLht3bekyyxc&#10;6bbNA2ztpwRipgxL1LcU0yr2i36nZwH1GuU8Oa+XDV6VBeV2tDlz2j2JNMeP+wz6/nD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RQycfWAAAACQEAAA8AAAAAAAAAAQAgAAAAIgAAAGRycy9kb3du&#10;cmV2LnhtbFBLAQIUABQAAAAIAIdO4kAh9MuRjwEAAAADAAAOAAAAAAAAAAEAIAAAACUBAABkcnMv&#10;ZTJvRG9jLnhtbFBLBQYAAAAABgAGAFkBAAAmBQAAAAA=&#10;">
                <v:fill on="f" focussize="0,0"/>
                <v:stroke on="f"/>
                <v:imagedata o:title=""/>
                <o:lock v:ext="edit" aspectratio="f"/>
                <v:textbox>
                  <w:txbxContent>
                    <w:p>
                      <w:pPr>
                        <w:snapToGrid w:val="0"/>
                        <w:jc w:val="center"/>
                      </w:pPr>
                      <w:r>
                        <w:rPr>
                          <w:rFonts w:hint="eastAsia" w:ascii="仿宋_GB2312" w:hAnsi="宋体" w:eastAsia="仿宋_GB2312"/>
                        </w:rPr>
                        <w:t>福建省统计专业职务资格考试领导小组办公室</w:t>
                      </w: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312" w:lineRule="auto"/>
        <w:ind w:right="0" w:rightChars="0" w:firstLine="632" w:firstLineChars="200"/>
        <w:jc w:val="both"/>
        <w:textAlignment w:val="auto"/>
        <w:outlineLvl w:val="9"/>
        <w:rPr>
          <w:rFonts w:ascii="仿宋_GB2312" w:hAnsi="仿宋" w:eastAsia="仿宋_GB2312"/>
        </w:rPr>
      </w:pPr>
      <w:r>
        <w:rPr>
          <w:rFonts w:ascii="仿宋_GB2312" w:hAnsi="仿宋" w:eastAsia="仿宋_GB2312"/>
        </w:rPr>
        <w:t xml:space="preserve">                           </w:t>
      </w:r>
      <w:r>
        <w:rPr>
          <w:rFonts w:hint="eastAsia" w:ascii="仿宋_GB2312" w:hAnsi="仿宋" w:eastAsia="仿宋_GB2312"/>
        </w:rPr>
        <w:t>福建省职称改革工作办公室</w:t>
      </w:r>
    </w:p>
    <w:p>
      <w:pPr>
        <w:keepNext w:val="0"/>
        <w:keepLines w:val="0"/>
        <w:pageBreakBefore w:val="0"/>
        <w:widowControl w:val="0"/>
        <w:kinsoku/>
        <w:wordWrap/>
        <w:overflowPunct/>
        <w:topLinePunct w:val="0"/>
        <w:autoSpaceDE/>
        <w:autoSpaceDN/>
        <w:bidi w:val="0"/>
        <w:adjustRightInd w:val="0"/>
        <w:snapToGrid w:val="0"/>
        <w:spacing w:line="312" w:lineRule="auto"/>
        <w:ind w:right="0" w:rightChars="0" w:firstLine="790" w:firstLineChars="250"/>
        <w:jc w:val="both"/>
        <w:textAlignment w:val="auto"/>
        <w:outlineLvl w:val="9"/>
        <w:rPr>
          <w:rFonts w:ascii="仿宋_GB2312" w:hAnsi="仿宋" w:eastAsia="仿宋_GB2312"/>
        </w:rPr>
      </w:pPr>
      <w:r>
        <w:rPr>
          <w:rFonts w:ascii="仿宋_GB2312" w:hAnsi="仿宋" w:eastAsia="仿宋_GB2312"/>
        </w:rPr>
        <w:t xml:space="preserve">                               </w:t>
      </w:r>
      <w:r>
        <w:rPr>
          <w:rFonts w:hint="eastAsia" w:ascii="仿宋_GB2312" w:hAnsi="仿宋" w:eastAsia="仿宋_GB2312"/>
          <w:lang w:eastAsia="zh-CN"/>
        </w:rPr>
        <w:t>202</w:t>
      </w:r>
      <w:r>
        <w:rPr>
          <w:rFonts w:hint="eastAsia" w:ascii="仿宋_GB2312" w:hAnsi="仿宋" w:eastAsia="仿宋_GB2312"/>
          <w:lang w:val="en-US" w:eastAsia="zh-CN"/>
        </w:rPr>
        <w:t>1</w:t>
      </w:r>
      <w:r>
        <w:rPr>
          <w:rFonts w:hint="eastAsia" w:ascii="仿宋_GB2312" w:hAnsi="仿宋" w:eastAsia="仿宋_GB2312"/>
        </w:rPr>
        <w:t>年</w:t>
      </w:r>
      <w:r>
        <w:rPr>
          <w:rFonts w:hint="eastAsia" w:ascii="仿宋_GB2312" w:hAnsi="仿宋" w:eastAsia="仿宋_GB2312"/>
          <w:lang w:val="en-US" w:eastAsia="zh-CN"/>
        </w:rPr>
        <w:t>7</w:t>
      </w:r>
      <w:r>
        <w:rPr>
          <w:rFonts w:hint="eastAsia" w:ascii="仿宋_GB2312" w:hAnsi="仿宋" w:eastAsia="仿宋_GB2312"/>
        </w:rPr>
        <w:t>月</w:t>
      </w:r>
      <w:r>
        <w:rPr>
          <w:rFonts w:hint="eastAsia" w:ascii="仿宋_GB2312" w:hAnsi="仿宋" w:eastAsia="仿宋_GB2312"/>
          <w:lang w:val="en-US" w:eastAsia="zh-CN"/>
        </w:rPr>
        <w:t>15</w:t>
      </w:r>
      <w:r>
        <w:rPr>
          <w:rFonts w:hint="eastAsia" w:ascii="仿宋_GB2312" w:hAnsi="仿宋" w:eastAsia="仿宋_GB2312"/>
        </w:rPr>
        <w:t>日</w:t>
      </w:r>
    </w:p>
    <w:sectPr>
      <w:headerReference r:id="rId3" w:type="default"/>
      <w:footerReference r:id="rId4" w:type="default"/>
      <w:footerReference r:id="rId5" w:type="even"/>
      <w:pgSz w:w="11906" w:h="16838"/>
      <w:pgMar w:top="2098" w:right="1531" w:bottom="2098" w:left="1531" w:header="851" w:footer="992" w:gutter="0"/>
      <w:pgNumType w:fmt="numberInDash"/>
      <w:cols w:space="425" w:num="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- 8 -</w:t>
    </w:r>
    <w:r>
      <w:rPr>
        <w:rStyle w:val="8"/>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B5E7"/>
    <w:multiLevelType w:val="singleLevel"/>
    <w:tmpl w:val="5F0BB5E7"/>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65"/>
    <w:rsid w:val="000E6F35"/>
    <w:rsid w:val="004A0D65"/>
    <w:rsid w:val="0064182A"/>
    <w:rsid w:val="006D06CC"/>
    <w:rsid w:val="00953059"/>
    <w:rsid w:val="00AB4E70"/>
    <w:rsid w:val="00D66D9A"/>
    <w:rsid w:val="00F20460"/>
    <w:rsid w:val="015F4A1A"/>
    <w:rsid w:val="021306BA"/>
    <w:rsid w:val="035C37A8"/>
    <w:rsid w:val="04501704"/>
    <w:rsid w:val="092B64B2"/>
    <w:rsid w:val="15D30AF4"/>
    <w:rsid w:val="186F2637"/>
    <w:rsid w:val="198E620B"/>
    <w:rsid w:val="19F3071F"/>
    <w:rsid w:val="1C124BD3"/>
    <w:rsid w:val="1C1C3B58"/>
    <w:rsid w:val="227048DA"/>
    <w:rsid w:val="23E62B84"/>
    <w:rsid w:val="25D25E93"/>
    <w:rsid w:val="2AD84DAD"/>
    <w:rsid w:val="2DED92C0"/>
    <w:rsid w:val="2E304292"/>
    <w:rsid w:val="376F426B"/>
    <w:rsid w:val="38451E4F"/>
    <w:rsid w:val="38785364"/>
    <w:rsid w:val="3D5C8CA0"/>
    <w:rsid w:val="3D9F1746"/>
    <w:rsid w:val="3F5C59FE"/>
    <w:rsid w:val="43913C7A"/>
    <w:rsid w:val="47B2513C"/>
    <w:rsid w:val="490978CB"/>
    <w:rsid w:val="497104FB"/>
    <w:rsid w:val="4E7A20FC"/>
    <w:rsid w:val="4EEF510F"/>
    <w:rsid w:val="4F2821F0"/>
    <w:rsid w:val="51DD060D"/>
    <w:rsid w:val="550B7C81"/>
    <w:rsid w:val="56837248"/>
    <w:rsid w:val="5D9439AA"/>
    <w:rsid w:val="64726B7B"/>
    <w:rsid w:val="6916540A"/>
    <w:rsid w:val="6BD766C1"/>
    <w:rsid w:val="6D787339"/>
    <w:rsid w:val="6D8714F1"/>
    <w:rsid w:val="6E5157E2"/>
    <w:rsid w:val="6EFF0D07"/>
    <w:rsid w:val="6F044506"/>
    <w:rsid w:val="71036289"/>
    <w:rsid w:val="719B62E9"/>
    <w:rsid w:val="721C6D20"/>
    <w:rsid w:val="76DE4C90"/>
    <w:rsid w:val="79944A10"/>
    <w:rsid w:val="7B543583"/>
    <w:rsid w:val="7BFDF9CA"/>
    <w:rsid w:val="7DEF0B43"/>
    <w:rsid w:val="7F3560BF"/>
    <w:rsid w:val="94EBECA4"/>
    <w:rsid w:val="B32FE6EB"/>
    <w:rsid w:val="BF7BA3DE"/>
    <w:rsid w:val="D6ED4F3F"/>
    <w:rsid w:val="D7760401"/>
    <w:rsid w:val="FCEB6165"/>
    <w:rsid w:val="FD996B00"/>
    <w:rsid w:val="FEF54F40"/>
    <w:rsid w:val="FF2ADF9B"/>
    <w:rsid w:val="FFFF9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0"/>
    <w:rPr>
      <w:rFonts w:ascii="宋体" w:cs="Courier New"/>
      <w:szCs w:val="21"/>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next w:val="4"/>
    <w:qFormat/>
    <w:uiPriority w:val="0"/>
    <w:pPr>
      <w:spacing w:before="100" w:beforeAutospacing="1" w:after="100" w:afterAutospacing="1" w:line="360" w:lineRule="auto"/>
    </w:pPr>
    <w:rPr>
      <w:rFonts w:ascii="宋体" w:hAnsi="Times New Roman" w:eastAsia="宋体" w:cs="Times New Roman"/>
      <w:kern w:val="0"/>
      <w:sz w:val="24"/>
      <w:szCs w:val="20"/>
      <w:lang w:val="en-US" w:eastAsia="zh-CN" w:bidi="ar-SA"/>
    </w:rPr>
  </w:style>
  <w:style w:type="character" w:styleId="7">
    <w:name w:val="Strong"/>
    <w:basedOn w:val="6"/>
    <w:qFormat/>
    <w:uiPriority w:val="22"/>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1">
    <w:name w:val="纯文本 Char"/>
    <w:basedOn w:val="6"/>
    <w:link w:val="2"/>
    <w:qFormat/>
    <w:uiPriority w:val="0"/>
    <w:rPr>
      <w:rFonts w:ascii="宋体" w:hAnsi="Times New Roman" w:eastAsia="宋体" w:cs="Courier New"/>
      <w:sz w:val="32"/>
      <w:szCs w:val="21"/>
    </w:rPr>
  </w:style>
  <w:style w:type="paragraph" w:customStyle="1" w:styleId="12">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页脚 Char"/>
    <w:basedOn w:val="6"/>
    <w:link w:val="3"/>
    <w:qFormat/>
    <w:uiPriority w:val="0"/>
    <w:rPr>
      <w:rFonts w:ascii="Times New Roman" w:hAnsi="Times New Roman" w:eastAsia="宋体" w:cs="Times New Roman"/>
      <w:sz w:val="18"/>
      <w:szCs w:val="18"/>
    </w:rPr>
  </w:style>
  <w:style w:type="character" w:customStyle="1" w:styleId="14">
    <w:name w:val="页眉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487</Words>
  <Characters>2780</Characters>
  <Lines>23</Lines>
  <Paragraphs>6</Paragraphs>
  <TotalTime>48</TotalTime>
  <ScaleCrop>false</ScaleCrop>
  <LinksUpToDate>false</LinksUpToDate>
  <CharactersWithSpaces>3261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2018-05-17T06:50:00Z</dcterms:created>
  <dc:creator>郭萍珍:排版</dc:creator>
  <cp:lastModifiedBy>厦门市统计局(拟稿)</cp:lastModifiedBy>
  <cp:lastPrinted>2021-07-16T17:21:00Z</cp:lastPrinted>
  <dcterms:modified xsi:type="dcterms:W3CDTF">2021-07-26T08:29:53Z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