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left"/>
        <w:rPr>
          <w:rFonts w:hint="eastAsia" w:ascii="黑体" w:hAnsi="黑体" w:eastAsia="黑体" w:cs="仿宋_GB2312"/>
          <w:sz w:val="32"/>
          <w:szCs w:val="32"/>
          <w:shd w:val="clear" w:color="auto" w:fill="FFFFFF"/>
        </w:rPr>
      </w:pPr>
      <w:bookmarkStart w:id="0" w:name="_GoBack"/>
      <w:bookmarkEnd w:id="0"/>
      <w:r>
        <w:rPr>
          <w:rFonts w:hint="eastAsia" w:ascii="黑体" w:hAnsi="黑体" w:eastAsia="黑体" w:cs="仿宋_GB2312"/>
          <w:sz w:val="28"/>
          <w:szCs w:val="28"/>
          <w:shd w:val="clear" w:color="auto" w:fill="FFFFFF"/>
        </w:rPr>
        <w:t>附件1</w:t>
      </w:r>
    </w:p>
    <w:p>
      <w:pPr>
        <w:pStyle w:val="2"/>
        <w:rPr>
          <w:rFonts w:hint="eastAsia"/>
        </w:rPr>
      </w:pPr>
    </w:p>
    <w:p>
      <w:pPr>
        <w:pStyle w:val="6"/>
        <w:widowControl/>
        <w:spacing w:beforeAutospacing="0" w:afterAutospacing="0" w:line="480" w:lineRule="exact"/>
        <w:ind w:firstLine="0" w:firstLineChars="0"/>
        <w:jc w:val="center"/>
        <w:rPr>
          <w:rFonts w:hint="eastAsia" w:ascii="方正小标宋简体" w:hAnsi="方正小标宋简体" w:eastAsia="方正小标宋简体" w:cs="方正小标宋简体"/>
          <w:sz w:val="44"/>
          <w:szCs w:val="44"/>
          <w:shd w:val="clear" w:color="auto" w:fill="FFFFFF"/>
        </w:rPr>
      </w:pPr>
      <w:r>
        <w:rPr>
          <w:rFonts w:hint="eastAsia" w:ascii="方正小标宋简体" w:hAnsi="方正小标宋简体" w:eastAsia="方正小标宋简体" w:cs="方正小标宋简体"/>
          <w:sz w:val="44"/>
          <w:szCs w:val="44"/>
          <w:shd w:val="clear" w:color="auto" w:fill="FFFFFF"/>
        </w:rPr>
        <w:t>广东省2021年1</w:t>
      </w:r>
      <w:r>
        <w:rPr>
          <w:rFonts w:ascii="方正小标宋简体" w:hAnsi="方正小标宋简体" w:eastAsia="方正小标宋简体" w:cs="方正小标宋简体"/>
          <w:sz w:val="44"/>
          <w:szCs w:val="44"/>
          <w:shd w:val="clear" w:color="auto" w:fill="FFFFFF"/>
        </w:rPr>
        <w:t>0</w:t>
      </w:r>
      <w:r>
        <w:rPr>
          <w:rFonts w:hint="eastAsia" w:ascii="方正小标宋简体" w:hAnsi="方正小标宋简体" w:eastAsia="方正小标宋简体" w:cs="方正小标宋简体"/>
          <w:sz w:val="44"/>
          <w:szCs w:val="44"/>
          <w:shd w:val="clear" w:color="auto" w:fill="FFFFFF"/>
        </w:rPr>
        <w:t>月高等教育自学考试</w:t>
      </w:r>
    </w:p>
    <w:p>
      <w:pPr>
        <w:pStyle w:val="6"/>
        <w:widowControl/>
        <w:spacing w:beforeAutospacing="0" w:afterAutospacing="0" w:line="480" w:lineRule="exact"/>
        <w:ind w:firstLine="0" w:firstLineChars="0"/>
        <w:jc w:val="center"/>
        <w:rPr>
          <w:rFonts w:hint="eastAsia" w:ascii="方正小标宋简体" w:hAnsi="方正小标宋简体" w:eastAsia="方正小标宋简体" w:cs="方正小标宋简体"/>
          <w:sz w:val="44"/>
          <w:szCs w:val="44"/>
          <w:shd w:val="clear" w:color="auto" w:fill="FFFFFF"/>
        </w:rPr>
      </w:pPr>
      <w:r>
        <w:rPr>
          <w:rFonts w:hint="eastAsia" w:ascii="方正小标宋简体" w:hAnsi="方正小标宋简体" w:eastAsia="方正小标宋简体" w:cs="方正小标宋简体"/>
          <w:sz w:val="44"/>
          <w:szCs w:val="44"/>
          <w:shd w:val="clear" w:color="auto" w:fill="FFFFFF"/>
        </w:rPr>
        <w:t>报名报考流程图</w:t>
      </w:r>
    </w:p>
    <w:p>
      <w:pPr>
        <w:pStyle w:val="6"/>
        <w:widowControl/>
        <w:spacing w:beforeAutospacing="0" w:afterAutospacing="0" w:line="240" w:lineRule="auto"/>
        <w:ind w:firstLine="0" w:firstLineChars="0"/>
        <w:rPr>
          <w:rFonts w:hint="eastAsia" w:ascii="仿宋_GB2312" w:hAnsi="仿宋_GB2312" w:eastAsia="仿宋_GB2312" w:cs="仿宋_GB2312"/>
          <w:bCs/>
          <w:color w:val="000000"/>
          <w:sz w:val="32"/>
          <w:szCs w:val="32"/>
          <w:shd w:val="clear" w:color="auto" w:fill="FFFFFF"/>
        </w:rPr>
      </w:pPr>
      <w:r>
        <w:rPr>
          <w:rFonts w:ascii="仿宋_GB2312" w:hAnsi="仿宋_GB2312" w:eastAsia="仿宋_GB2312" w:cs="仿宋_GB2312"/>
          <w:color w:val="000000"/>
          <w:sz w:val="32"/>
          <w:szCs w:val="32"/>
          <w:shd w:val="clear" w:color="auto" w:fill="FFFFFF"/>
          <w:lang/>
        </w:rPr>
        <w:drawing>
          <wp:inline distT="0" distB="0" distL="114300" distR="114300">
            <wp:extent cx="5482590" cy="7157720"/>
            <wp:effectExtent l="0" t="0" r="3810" b="5080"/>
            <wp:docPr id="1" name="图片 1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图片11"/>
                    <pic:cNvPicPr>
                      <a:picLocks noChangeAspect="1"/>
                    </pic:cNvPicPr>
                  </pic:nvPicPr>
                  <pic:blipFill>
                    <a:blip r:embed="rId12"/>
                    <a:srcRect l="980" t="3069" r="9337" b="1494"/>
                    <a:stretch>
                      <a:fillRect/>
                    </a:stretch>
                  </pic:blipFill>
                  <pic:spPr>
                    <a:xfrm>
                      <a:off x="0" y="0"/>
                      <a:ext cx="5482590" cy="7157720"/>
                    </a:xfrm>
                    <a:prstGeom prst="rect">
                      <a:avLst/>
                    </a:prstGeom>
                    <a:noFill/>
                    <a:ln>
                      <a:noFill/>
                    </a:ln>
                  </pic:spPr>
                </pic:pic>
              </a:graphicData>
            </a:graphic>
          </wp:inline>
        </w:drawing>
      </w:r>
    </w:p>
    <w:p>
      <w:pPr>
        <w:pStyle w:val="6"/>
        <w:widowControl/>
        <w:spacing w:beforeAutospacing="0" w:afterAutospacing="0" w:line="240" w:lineRule="auto"/>
        <w:ind w:firstLine="0" w:firstLineChars="0"/>
        <w:rPr>
          <w:rFonts w:hint="eastAsia" w:ascii="仿宋_GB2312" w:hAnsi="仿宋_GB2312" w:eastAsia="仿宋_GB2312" w:cs="仿宋_GB2312"/>
          <w:color w:val="000000"/>
          <w:sz w:val="32"/>
          <w:szCs w:val="32"/>
          <w:shd w:val="clear" w:color="auto" w:fill="FFFFFF"/>
        </w:rPr>
      </w:pPr>
      <w:r>
        <w:rPr>
          <w:rFonts w:ascii="仿宋_GB2312" w:hAnsi="仿宋_GB2312" w:eastAsia="仿宋_GB2312" w:cs="仿宋_GB2312"/>
          <w:color w:val="000000"/>
          <w:sz w:val="32"/>
          <w:szCs w:val="32"/>
          <w:shd w:val="clear" w:color="auto" w:fill="FFFFFF"/>
          <w:lang/>
        </w:rPr>
        <w:drawing>
          <wp:inline distT="0" distB="0" distL="114300" distR="114300">
            <wp:extent cx="5655945" cy="8700135"/>
            <wp:effectExtent l="0" t="0" r="1905" b="5715"/>
            <wp:docPr id="2" name="图片 10" descr="报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报考"/>
                    <pic:cNvPicPr>
                      <a:picLocks noChangeAspect="1"/>
                    </pic:cNvPicPr>
                  </pic:nvPicPr>
                  <pic:blipFill>
                    <a:blip r:embed="rId13"/>
                    <a:stretch>
                      <a:fillRect/>
                    </a:stretch>
                  </pic:blipFill>
                  <pic:spPr>
                    <a:xfrm>
                      <a:off x="0" y="0"/>
                      <a:ext cx="5655945" cy="8700135"/>
                    </a:xfrm>
                    <a:prstGeom prst="rect">
                      <a:avLst/>
                    </a:prstGeom>
                    <a:noFill/>
                    <a:ln>
                      <a:noFill/>
                    </a:ln>
                  </pic:spPr>
                </pic:pic>
              </a:graphicData>
            </a:graphic>
          </wp:inline>
        </w:drawing>
      </w:r>
    </w:p>
    <w:p>
      <w:pPr>
        <w:ind w:firstLine="0" w:firstLineChars="0"/>
        <w:rPr>
          <w:rFonts w:hint="eastAsia" w:ascii="黑体" w:hAnsi="黑体" w:eastAsia="黑体" w:cs="仿宋_GB2312"/>
          <w:kern w:val="0"/>
          <w:sz w:val="28"/>
          <w:szCs w:val="28"/>
          <w:shd w:val="clear" w:color="auto" w:fill="FFFFFF"/>
        </w:rPr>
      </w:pPr>
      <w:r>
        <w:rPr>
          <w:rFonts w:hint="eastAsia" w:ascii="黑体" w:hAnsi="黑体" w:eastAsia="黑体" w:cs="仿宋_GB2312"/>
          <w:sz w:val="32"/>
          <w:szCs w:val="32"/>
        </w:rPr>
        <w:br w:type="page"/>
      </w:r>
      <w:r>
        <w:rPr>
          <w:rFonts w:hint="eastAsia" w:ascii="黑体" w:hAnsi="黑体" w:eastAsia="黑体" w:cs="仿宋_GB2312"/>
          <w:kern w:val="0"/>
          <w:sz w:val="28"/>
          <w:szCs w:val="28"/>
          <w:shd w:val="clear" w:color="auto" w:fill="FFFFFF"/>
        </w:rPr>
        <w:t>附件2</w:t>
      </w:r>
    </w:p>
    <w:p>
      <w:pPr>
        <w:spacing w:line="240" w:lineRule="auto"/>
        <w:ind w:firstLine="0" w:firstLineChars="0"/>
        <w:rPr>
          <w:rFonts w:hint="eastAsia" w:ascii="仿宋_GB2312" w:hAnsi="仿宋_GB2312" w:eastAsia="仿宋_GB2312" w:cs="仿宋_GB2312"/>
          <w:sz w:val="32"/>
          <w:szCs w:val="32"/>
        </w:rPr>
      </w:pPr>
    </w:p>
    <w:p>
      <w:pPr>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广东省2021年1</w:t>
      </w:r>
      <w:r>
        <w:rPr>
          <w:rFonts w:ascii="方正小标宋简体" w:hAnsi="方正小标宋简体" w:eastAsia="方正小标宋简体" w:cs="方正小标宋简体"/>
          <w:sz w:val="44"/>
          <w:szCs w:val="44"/>
        </w:rPr>
        <w:t>0</w:t>
      </w:r>
      <w:r>
        <w:rPr>
          <w:rFonts w:hint="eastAsia" w:ascii="方正小标宋简体" w:hAnsi="方正小标宋简体" w:eastAsia="方正小标宋简体" w:cs="方正小标宋简体"/>
          <w:sz w:val="44"/>
          <w:szCs w:val="44"/>
        </w:rPr>
        <w:t>月高等教育自学考试</w:t>
      </w:r>
    </w:p>
    <w:p>
      <w:pPr>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在线报名操作指引</w:t>
      </w:r>
    </w:p>
    <w:p>
      <w:pPr>
        <w:spacing w:line="240" w:lineRule="auto"/>
        <w:ind w:firstLine="422"/>
        <w:rPr>
          <w:rFonts w:hint="eastAsia"/>
          <w:b/>
          <w:bCs/>
        </w:rPr>
      </w:pPr>
    </w:p>
    <w:p>
      <w:pPr>
        <w:spacing w:line="240" w:lineRule="auto"/>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第一步：预报名-网页端</w:t>
      </w: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登录网址https://www.eeagd.edu.cn/zkselfec/login/login.jsp在网页端完成预报名信息录入，获取预报名号，并牢记预报名时设置的密码。</w:t>
      </w:r>
    </w:p>
    <w:p>
      <w:pPr>
        <w:spacing w:line="240" w:lineRule="auto"/>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第二步：采集相片-小程序端</w:t>
      </w: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（1）在广东省教育考试院官方小程序上选择报名相片采集，选择考生端进入。</w:t>
      </w:r>
    </w:p>
    <w:p>
      <w:pPr>
        <w:spacing w:line="240" w:lineRule="auto"/>
        <w:ind w:firstLine="420"/>
      </w:pPr>
      <w:r>
        <w:rPr>
          <w:lang/>
        </w:rPr>
        <w:drawing>
          <wp:inline distT="0" distB="0" distL="114300" distR="114300">
            <wp:extent cx="1962150" cy="4011295"/>
            <wp:effectExtent l="0" t="0" r="0" b="825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4"/>
                    <a:stretch>
                      <a:fillRect/>
                    </a:stretch>
                  </pic:blipFill>
                  <pic:spPr>
                    <a:xfrm>
                      <a:off x="0" y="0"/>
                      <a:ext cx="1962150" cy="4011295"/>
                    </a:xfrm>
                    <a:prstGeom prst="rect">
                      <a:avLst/>
                    </a:prstGeom>
                    <a:noFill/>
                    <a:ln>
                      <a:noFill/>
                    </a:ln>
                  </pic:spPr>
                </pic:pic>
              </a:graphicData>
            </a:graphic>
          </wp:inline>
        </w:drawing>
      </w:r>
    </w:p>
    <w:p>
      <w:pPr>
        <w:spacing w:line="240" w:lineRule="auto"/>
        <w:ind w:firstLine="420"/>
      </w:pPr>
    </w:p>
    <w:p>
      <w:pPr>
        <w:spacing w:line="240" w:lineRule="auto"/>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（2）在考试列表中找到自考报名相片采集，输入预报名号与预报名时设置的密码登录。</w:t>
      </w:r>
    </w:p>
    <w:p>
      <w:pPr>
        <w:spacing w:line="240" w:lineRule="auto"/>
        <w:ind w:firstLine="0" w:firstLineChars="0"/>
        <w:jc w:val="center"/>
      </w:pPr>
      <w:r>
        <w:rPr>
          <w:rFonts w:hint="eastAsia"/>
        </w:rPr>
        <w:t xml:space="preserve">   </w:t>
      </w:r>
    </w:p>
    <w:p>
      <w:pPr>
        <w:spacing w:line="240" w:lineRule="auto"/>
        <w:ind w:firstLine="420"/>
        <w:jc w:val="center"/>
        <w:rPr>
          <w:rFonts w:hint="eastAsia" w:eastAsia="宋体"/>
          <w:lang w:eastAsia="zh-CN"/>
        </w:rPr>
      </w:pPr>
      <w:r>
        <w:rPr>
          <w:rFonts w:hint="eastAsia" w:eastAsia="宋体"/>
          <w:lang w:eastAsia="zh-CN"/>
        </w:rPr>
        <w:drawing>
          <wp:inline distT="0" distB="0" distL="114300" distR="114300">
            <wp:extent cx="2647950" cy="3028315"/>
            <wp:effectExtent l="0" t="0" r="0" b="635"/>
            <wp:docPr id="4"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图片1"/>
                    <pic:cNvPicPr>
                      <a:picLocks noChangeAspect="1"/>
                    </pic:cNvPicPr>
                  </pic:nvPicPr>
                  <pic:blipFill>
                    <a:blip r:embed="rId15"/>
                    <a:stretch>
                      <a:fillRect/>
                    </a:stretch>
                  </pic:blipFill>
                  <pic:spPr>
                    <a:xfrm>
                      <a:off x="0" y="0"/>
                      <a:ext cx="2647950" cy="3028315"/>
                    </a:xfrm>
                    <a:prstGeom prst="rect">
                      <a:avLst/>
                    </a:prstGeom>
                    <a:noFill/>
                    <a:ln>
                      <a:noFill/>
                    </a:ln>
                  </pic:spPr>
                </pic:pic>
              </a:graphicData>
            </a:graphic>
          </wp:inline>
        </w:drawing>
      </w:r>
    </w:p>
    <w:p>
      <w:pPr>
        <w:spacing w:line="240" w:lineRule="auto"/>
        <w:ind w:firstLine="0" w:firstLineChars="0"/>
        <w:jc w:val="center"/>
      </w:pPr>
    </w:p>
    <w:p>
      <w:pPr>
        <w:spacing w:line="240" w:lineRule="auto"/>
        <w:ind w:firstLine="0" w:firstLineChars="0"/>
        <w:jc w:val="center"/>
      </w:pPr>
      <w:r>
        <w:rPr>
          <w:lang/>
        </w:rPr>
        <w:drawing>
          <wp:inline distT="0" distB="0" distL="114300" distR="114300">
            <wp:extent cx="2609850" cy="3143250"/>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6"/>
                    <a:stretch>
                      <a:fillRect/>
                    </a:stretch>
                  </pic:blipFill>
                  <pic:spPr>
                    <a:xfrm>
                      <a:off x="0" y="0"/>
                      <a:ext cx="2609850" cy="3143250"/>
                    </a:xfrm>
                    <a:prstGeom prst="rect">
                      <a:avLst/>
                    </a:prstGeom>
                    <a:noFill/>
                    <a:ln>
                      <a:noFill/>
                    </a:ln>
                  </pic:spPr>
                </pic:pic>
              </a:graphicData>
            </a:graphic>
          </wp:inline>
        </w:drawing>
      </w:r>
    </w:p>
    <w:p>
      <w:pPr>
        <w:spacing w:line="240" w:lineRule="auto"/>
        <w:ind w:firstLine="420"/>
      </w:pPr>
    </w:p>
    <w:p>
      <w:pPr>
        <w:spacing w:line="240" w:lineRule="auto"/>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（3）按指引拍摄清晰的正面人像照片</w:t>
      </w: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拍摄的相片会进行人脸识别身份核验、活体检测（真人检测）与相片质量检测，请拍摄本人清晰的面部相片，避免面部任何遮挡，不要翻拍证件照，尽量保持背景简单并与穿着的颜色有一定区别。</w:t>
      </w: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拍摄上传成功后会出现如下界面</w:t>
      </w:r>
    </w:p>
    <w:p>
      <w:pPr>
        <w:spacing w:line="240" w:lineRule="auto"/>
        <w:ind w:firstLine="0" w:firstLineChars="0"/>
        <w:jc w:val="center"/>
      </w:pPr>
      <w:r>
        <w:rPr>
          <w:lang/>
        </w:rPr>
        <w:drawing>
          <wp:inline distT="0" distB="0" distL="114300" distR="114300">
            <wp:extent cx="2514600" cy="3495040"/>
            <wp:effectExtent l="0" t="0" r="0" b="10160"/>
            <wp:docPr id="6"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图片2"/>
                    <pic:cNvPicPr>
                      <a:picLocks noChangeAspect="1"/>
                    </pic:cNvPicPr>
                  </pic:nvPicPr>
                  <pic:blipFill>
                    <a:blip r:embed="rId17"/>
                    <a:stretch>
                      <a:fillRect/>
                    </a:stretch>
                  </pic:blipFill>
                  <pic:spPr>
                    <a:xfrm>
                      <a:off x="0" y="0"/>
                      <a:ext cx="2514600" cy="3495040"/>
                    </a:xfrm>
                    <a:prstGeom prst="rect">
                      <a:avLst/>
                    </a:prstGeom>
                    <a:noFill/>
                    <a:ln>
                      <a:noFill/>
                    </a:ln>
                  </pic:spPr>
                </pic:pic>
              </a:graphicData>
            </a:graphic>
          </wp:inline>
        </w:drawing>
      </w:r>
    </w:p>
    <w:p>
      <w:pPr>
        <w:spacing w:line="240" w:lineRule="auto"/>
        <w:ind w:firstLine="420"/>
      </w:pP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如果拍摄后提示人脸识别不通过，可能为以下原因：</w:t>
      </w: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1.拍摄的人像与公安部身份证相片差别较大。</w:t>
      </w: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2.系统鉴定为非真人（比如翻拍相片）。</w:t>
      </w: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3.生成证件照质量较差。</w:t>
      </w: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识别不通过时可以点击人脸识别结果查看不通过原因并重新尝试，当多次尝试不过后可以选择通过人工审核方式提交（需补充身份证正反面、手持身份证相片），等待人工审核（审核仍不通过的，及时与当地自学考试办公室联系咨询）。</w:t>
      </w:r>
    </w:p>
    <w:p>
      <w:pPr>
        <w:spacing w:line="240" w:lineRule="auto"/>
        <w:ind w:firstLine="420"/>
        <w:rPr>
          <w:rFonts w:hint="eastAsia"/>
        </w:rPr>
      </w:pPr>
    </w:p>
    <w:p>
      <w:pPr>
        <w:spacing w:line="240" w:lineRule="auto"/>
        <w:ind w:firstLine="420"/>
        <w:jc w:val="center"/>
      </w:pPr>
      <w:r>
        <w:rPr>
          <w:lang/>
        </w:rPr>
        <w:drawing>
          <wp:inline distT="0" distB="0" distL="114300" distR="114300">
            <wp:extent cx="2207895" cy="3578860"/>
            <wp:effectExtent l="0" t="0" r="1905" b="25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2207895" cy="3578860"/>
                    </a:xfrm>
                    <a:prstGeom prst="rect">
                      <a:avLst/>
                    </a:prstGeom>
                    <a:noFill/>
                    <a:ln>
                      <a:noFill/>
                    </a:ln>
                  </pic:spPr>
                </pic:pic>
              </a:graphicData>
            </a:graphic>
          </wp:inline>
        </w:drawing>
      </w:r>
      <w:r>
        <w:rPr>
          <w:rFonts w:hint="eastAsia"/>
        </w:rPr>
        <w:t xml:space="preserve">    </w:t>
      </w:r>
      <w:r>
        <w:rPr>
          <w:lang/>
        </w:rPr>
        <w:drawing>
          <wp:inline distT="0" distB="0" distL="114300" distR="114300">
            <wp:extent cx="2038985" cy="3599815"/>
            <wp:effectExtent l="0" t="0" r="18415"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2038985" cy="3599815"/>
                    </a:xfrm>
                    <a:prstGeom prst="rect">
                      <a:avLst/>
                    </a:prstGeom>
                    <a:noFill/>
                    <a:ln>
                      <a:noFill/>
                    </a:ln>
                  </pic:spPr>
                </pic:pic>
              </a:graphicData>
            </a:graphic>
          </wp:inline>
        </w:drawing>
      </w:r>
    </w:p>
    <w:p>
      <w:pPr>
        <w:spacing w:line="240" w:lineRule="auto"/>
        <w:ind w:firstLine="420"/>
        <w:jc w:val="center"/>
        <w:rPr>
          <w:rFonts w:hint="eastAsia"/>
        </w:rPr>
      </w:pPr>
    </w:p>
    <w:p>
      <w:pPr>
        <w:spacing w:line="240" w:lineRule="auto"/>
        <w:ind w:firstLine="420"/>
      </w:pPr>
      <w:r>
        <w:rPr>
          <w:lang/>
        </w:rPr>
        <w:drawing>
          <wp:inline distT="0" distB="0" distL="114300" distR="114300">
            <wp:extent cx="5259705" cy="1964055"/>
            <wp:effectExtent l="0" t="0" r="17145" b="171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0"/>
                    <a:stretch>
                      <a:fillRect/>
                    </a:stretch>
                  </pic:blipFill>
                  <pic:spPr>
                    <a:xfrm>
                      <a:off x="0" y="0"/>
                      <a:ext cx="5259705" cy="1964055"/>
                    </a:xfrm>
                    <a:prstGeom prst="rect">
                      <a:avLst/>
                    </a:prstGeom>
                    <a:noFill/>
                    <a:ln>
                      <a:noFill/>
                    </a:ln>
                  </pic:spPr>
                </pic:pic>
              </a:graphicData>
            </a:graphic>
          </wp:inline>
        </w:drawing>
      </w:r>
    </w:p>
    <w:p>
      <w:pPr>
        <w:spacing w:line="240" w:lineRule="auto"/>
        <w:ind w:firstLine="420"/>
      </w:pPr>
    </w:p>
    <w:p>
      <w:pPr>
        <w:spacing w:line="240" w:lineRule="auto"/>
        <w:ind w:firstLine="420"/>
      </w:pPr>
    </w:p>
    <w:p>
      <w:pPr>
        <w:spacing w:line="240" w:lineRule="auto"/>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第三步：生成准考证号-小程序端</w:t>
      </w: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在小程序首页找到自考报名确认的入口，输入预报名号与密码后生成准考证号，完成正式报名。</w:t>
      </w: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因照片审核未通过等原因无法获取准考证号的，应及时联系当地市自学考试办公室完成正式报名，</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月2</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日</w:t>
      </w:r>
      <w:r>
        <w:rPr>
          <w:rFonts w:hint="eastAsia" w:ascii="仿宋_GB2312" w:hAnsi="仿宋_GB2312" w:eastAsia="仿宋_GB2312" w:cs="仿宋_GB2312"/>
          <w:sz w:val="28"/>
          <w:szCs w:val="28"/>
        </w:rPr>
        <w:t>后不再受理。</w:t>
      </w:r>
    </w:p>
    <w:p>
      <w:pPr>
        <w:spacing w:line="240" w:lineRule="auto"/>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注意：只有相片采集经审核通过的考生才能生成准考证号完成报名确认，相片采集在人工审核中的需等待审核通过。</w:t>
      </w:r>
    </w:p>
    <w:p>
      <w:pPr>
        <w:spacing w:line="240" w:lineRule="auto"/>
        <w:ind w:firstLine="0" w:firstLineChars="0"/>
        <w:jc w:val="center"/>
        <w:rPr>
          <w:rFonts w:hint="eastAsia"/>
        </w:rPr>
      </w:pPr>
      <w:r>
        <w:rPr>
          <w:lang/>
        </w:rPr>
        <w:drawing>
          <wp:inline distT="0" distB="0" distL="114300" distR="114300">
            <wp:extent cx="2582545" cy="5211445"/>
            <wp:effectExtent l="0" t="0" r="8255"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1"/>
                    <a:stretch>
                      <a:fillRect/>
                    </a:stretch>
                  </pic:blipFill>
                  <pic:spPr>
                    <a:xfrm>
                      <a:off x="0" y="0"/>
                      <a:ext cx="2582545" cy="5211445"/>
                    </a:xfrm>
                    <a:prstGeom prst="rect">
                      <a:avLst/>
                    </a:prstGeom>
                    <a:noFill/>
                    <a:ln>
                      <a:noFill/>
                    </a:ln>
                  </pic:spPr>
                </pic:pic>
              </a:graphicData>
            </a:graphic>
          </wp:inline>
        </w:drawing>
      </w:r>
      <w:r>
        <w:rPr>
          <w:rFonts w:hint="eastAsia"/>
        </w:rPr>
        <w:t xml:space="preserve">  </w:t>
      </w:r>
      <w:r>
        <w:drawing>
          <wp:inline distT="0" distB="0" distL="114300" distR="114300">
            <wp:extent cx="2665095" cy="5220970"/>
            <wp:effectExtent l="0" t="0" r="1905" b="17780"/>
            <wp:docPr id="11" name="图片 1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图片3"/>
                    <pic:cNvPicPr>
                      <a:picLocks noChangeAspect="1"/>
                    </pic:cNvPicPr>
                  </pic:nvPicPr>
                  <pic:blipFill>
                    <a:blip r:embed="rId22"/>
                    <a:stretch>
                      <a:fillRect/>
                    </a:stretch>
                  </pic:blipFill>
                  <pic:spPr>
                    <a:xfrm>
                      <a:off x="0" y="0"/>
                      <a:ext cx="2665095" cy="5220970"/>
                    </a:xfrm>
                    <a:prstGeom prst="rect">
                      <a:avLst/>
                    </a:prstGeom>
                    <a:noFill/>
                    <a:ln>
                      <a:noFill/>
                    </a:ln>
                  </pic:spPr>
                </pic:pic>
              </a:graphicData>
            </a:graphic>
          </wp:inline>
        </w:drawing>
      </w:r>
    </w:p>
    <w:p>
      <w:pPr>
        <w:spacing w:line="240" w:lineRule="auto"/>
        <w:ind w:firstLine="0" w:firstLineChars="0"/>
        <w:rPr>
          <w:rFonts w:hint="eastAsia" w:ascii="黑体" w:hAnsi="黑体" w:eastAsia="黑体" w:cs="仿宋_GB2312"/>
          <w:sz w:val="28"/>
          <w:szCs w:val="28"/>
          <w:shd w:val="clear" w:color="auto" w:fill="FFFFFF"/>
        </w:rPr>
      </w:pPr>
      <w:r>
        <w:rPr>
          <w:rFonts w:hint="eastAsia" w:ascii="方正小标宋简体" w:hAnsi="方正小标宋简体" w:eastAsia="方正小标宋简体" w:cs="方正小标宋简体"/>
          <w:color w:val="FF0000"/>
          <w:sz w:val="44"/>
          <w:szCs w:val="44"/>
          <w:u w:val="single"/>
        </w:rPr>
        <w:br w:type="page"/>
      </w:r>
      <w:r>
        <w:rPr>
          <w:rFonts w:hint="eastAsia" w:ascii="黑体" w:hAnsi="黑体" w:eastAsia="黑体" w:cs="仿宋_GB2312"/>
          <w:sz w:val="28"/>
          <w:szCs w:val="28"/>
          <w:shd w:val="clear" w:color="auto" w:fill="FFFFFF"/>
        </w:rPr>
        <w:t>附件3</w:t>
      </w:r>
    </w:p>
    <w:p>
      <w:pPr>
        <w:ind w:firstLine="640"/>
        <w:rPr>
          <w:rFonts w:hint="eastAsia" w:ascii="仿宋_GB2312" w:hAnsi="仿宋_GB2312" w:eastAsia="仿宋_GB2312" w:cs="仿宋_GB2312"/>
          <w:sz w:val="32"/>
          <w:szCs w:val="32"/>
          <w:shd w:val="clear" w:color="auto" w:fill="FFFFFF"/>
        </w:rPr>
      </w:pPr>
    </w:p>
    <w:p>
      <w:pPr>
        <w:pStyle w:val="6"/>
        <w:widowControl/>
        <w:spacing w:beforeAutospacing="0" w:afterAutospacing="0"/>
        <w:ind w:firstLine="0" w:firstLineChars="0"/>
        <w:jc w:val="center"/>
        <w:rPr>
          <w:rFonts w:hint="eastAsia" w:ascii="方正小标宋简体" w:hAnsi="方正小标宋简体" w:eastAsia="方正小标宋简体" w:cs="方正小标宋简体"/>
          <w:sz w:val="44"/>
          <w:szCs w:val="44"/>
          <w:shd w:val="clear" w:color="auto" w:fill="FFFFFF"/>
        </w:rPr>
      </w:pPr>
      <w:r>
        <w:rPr>
          <w:rFonts w:hint="eastAsia" w:ascii="方正小标宋简体" w:hAnsi="黑体" w:eastAsia="方正小标宋简体" w:cs="黑体"/>
          <w:sz w:val="44"/>
          <w:szCs w:val="44"/>
          <w:shd w:val="clear" w:color="auto" w:fill="FFFFFF"/>
        </w:rPr>
        <w:t>广东省高等教育自学考试电子相片采集标准</w:t>
      </w:r>
    </w:p>
    <w:p>
      <w:pPr>
        <w:pStyle w:val="6"/>
        <w:widowControl/>
        <w:spacing w:beforeAutospacing="0" w:afterAutospacing="0"/>
        <w:ind w:firstLine="640"/>
        <w:jc w:val="center"/>
        <w:rPr>
          <w:rFonts w:ascii="仿宋_GB2312" w:hAnsi="仿宋_GB2312" w:eastAsia="仿宋_GB2312" w:cs="仿宋_GB2312"/>
          <w:sz w:val="32"/>
          <w:szCs w:val="32"/>
          <w:shd w:val="clear" w:color="auto" w:fill="FFFFFF"/>
        </w:rPr>
      </w:pPr>
    </w:p>
    <w:p>
      <w:pPr>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1.本人近期正面、免冠、彩色（淡蓝色底）证件电子照片，照片必须清晰完整，与本人相貌一致。</w:t>
      </w:r>
    </w:p>
    <w:p>
      <w:pPr>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2.成像区上下要求头上部空1／10，头部占7／10，肩部占1／5。采集的图像大小最小为192×168（高×宽），单位为：像素。成像区大小为48ｍｍ×42ｍｍ（高×宽）。</w:t>
      </w:r>
    </w:p>
    <w:p>
      <w:pPr>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电子照片须显示双肩、双耳，露双眉，衣着端正，不着与背景同色的上衣，人像清晰，神态自然，无明显畸变，脸部无局部亮度，背景无边框。不得上传翻拍照、全身照、风景照、生活照、大头贴、背带（吊带）衫照、艺术照、侧面照、不规则手机照等。</w:t>
      </w:r>
    </w:p>
    <w:p>
      <w:pPr>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4.电子照片不得佩戴饰品，不得佩戴粗框眼镜（饰品、眼镜遮挡面部特征会影响考试期间身份核验）。</w:t>
      </w:r>
    </w:p>
    <w:p>
      <w:pPr>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w:t>
      </w:r>
      <w:r>
        <w:rPr>
          <w:rFonts w:hint="eastAsia" w:ascii="仿宋_GB2312" w:hAnsi="仿宋_GB2312" w:eastAsia="仿宋_GB2312" w:cs="仿宋_GB2312"/>
          <w:bCs/>
          <w:color w:val="000000"/>
          <w:sz w:val="32"/>
          <w:szCs w:val="32"/>
        </w:rPr>
        <w:t>此照片将作为本人准考证唯一使用照片，将用于考试期间的人像识别比对及毕业申请的照片审核，</w:t>
      </w:r>
      <w:r>
        <w:rPr>
          <w:rFonts w:hint="eastAsia" w:ascii="仿宋_GB2312" w:hAnsi="仿宋_GB2312" w:eastAsia="仿宋_GB2312" w:cs="仿宋_GB2312"/>
          <w:color w:val="000000"/>
          <w:sz w:val="32"/>
          <w:szCs w:val="32"/>
        </w:rPr>
        <w:t>不符合要求的照片会影响考生的考试及毕业等，由此造成的后果由考生自行承担。</w:t>
      </w:r>
    </w:p>
    <w:p>
      <w:pPr>
        <w:pStyle w:val="6"/>
        <w:widowControl/>
        <w:spacing w:beforeAutospacing="0" w:afterAutospacing="0"/>
        <w:ind w:firstLine="640"/>
        <w:jc w:val="both"/>
        <w:rPr>
          <w:rFonts w:ascii="仿宋_GB2312" w:hAnsi="仿宋_GB2312" w:eastAsia="仿宋_GB2312" w:cs="仿宋_GB2312"/>
          <w:sz w:val="32"/>
          <w:szCs w:val="32"/>
        </w:rPr>
      </w:pPr>
    </w:p>
    <w:p>
      <w:pPr>
        <w:pStyle w:val="6"/>
        <w:widowControl/>
        <w:spacing w:beforeAutospacing="0" w:afterAutospacing="0"/>
        <w:ind w:firstLine="640"/>
        <w:jc w:val="both"/>
        <w:rPr>
          <w:rFonts w:ascii="仿宋_GB2312" w:hAnsi="仿宋_GB2312" w:eastAsia="仿宋_GB2312" w:cs="仿宋_GB2312"/>
          <w:sz w:val="32"/>
          <w:szCs w:val="32"/>
        </w:rPr>
      </w:pPr>
    </w:p>
    <w:p>
      <w:pPr>
        <w:ind w:firstLine="0" w:firstLineChars="0"/>
        <w:rPr>
          <w:rFonts w:hint="eastAsia" w:ascii="黑体" w:hAnsi="黑体" w:eastAsia="黑体" w:cs="仿宋_GB2312"/>
          <w:sz w:val="28"/>
          <w:szCs w:val="28"/>
          <w:shd w:val="clear" w:color="auto" w:fill="FFFFFF"/>
        </w:rPr>
      </w:pPr>
      <w:r>
        <w:rPr>
          <w:rFonts w:hint="eastAsia"/>
        </w:rPr>
        <w:br w:type="page"/>
      </w:r>
      <w:r>
        <w:rPr>
          <w:rFonts w:hint="eastAsia" w:ascii="黑体" w:hAnsi="黑体" w:eastAsia="黑体" w:cs="仿宋_GB2312"/>
          <w:sz w:val="28"/>
          <w:szCs w:val="28"/>
          <w:shd w:val="clear" w:color="auto" w:fill="FFFFFF"/>
        </w:rPr>
        <w:t>附件4</w:t>
      </w:r>
    </w:p>
    <w:p>
      <w:pPr>
        <w:ind w:firstLine="640"/>
        <w:rPr>
          <w:rFonts w:ascii="仿宋_GB2312" w:hAnsi="仿宋_GB2312" w:eastAsia="仿宋_GB2312" w:cs="仿宋_GB2312"/>
          <w:sz w:val="32"/>
          <w:szCs w:val="32"/>
          <w:shd w:val="clear" w:color="auto" w:fill="FFFFFF"/>
        </w:rPr>
      </w:pPr>
    </w:p>
    <w:p>
      <w:pPr>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广东省高等教育自学考试诚信报考承诺书</w:t>
      </w:r>
    </w:p>
    <w:p>
      <w:pPr>
        <w:ind w:firstLine="880"/>
        <w:jc w:val="center"/>
        <w:rPr>
          <w:rFonts w:hint="eastAsia" w:ascii="方正小标宋简体" w:hAnsi="方正小标宋简体" w:eastAsia="方正小标宋简体" w:cs="方正小标宋简体"/>
          <w:color w:val="000000"/>
          <w:sz w:val="44"/>
          <w:szCs w:val="44"/>
        </w:rPr>
      </w:pPr>
    </w:p>
    <w:p>
      <w:pPr>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为倡导诚信考试理念，共同构建诚信社会，本人理解并自愿同意接受以下内容：</w:t>
      </w:r>
    </w:p>
    <w:p>
      <w:pPr>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1.自愿诚信报考，诚信考试，不无故缺考，不违纪作弊。</w:t>
      </w:r>
    </w:p>
    <w:p>
      <w:pPr>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2.知悉并同意省、市关于建立广东省自学考试考生诚信报考档案的相关规定。</w:t>
      </w:r>
    </w:p>
    <w:p>
      <w:pPr>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3.如当次考试无故缺考2门课程或以上的，自愿在省考办组织的下一期自学考试中报考不超过2门课程。</w:t>
      </w:r>
    </w:p>
    <w:p>
      <w:pPr>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当次考试被认定为无故缺考而被记入诚信报考档案后，本人认为有正当理由的，会在当次考试结束后10天内向当次考试所在地市考办提交相关佐证材料，说明缺考理由，提出诚信报考档案修复申请。不按此时间提出诚信报考档案修复申请而影响到报考科次或考点选择的，本人愿意承担后果。</w:t>
      </w:r>
    </w:p>
    <w:p>
      <w:pPr>
        <w:ind w:firstLine="0" w:firstLineChars="0"/>
        <w:rPr>
          <w:rFonts w:hint="eastAsia" w:ascii="黑体" w:hAnsi="黑体" w:eastAsia="黑体" w:cs="仿宋_GB2312"/>
          <w:color w:val="000000"/>
          <w:sz w:val="28"/>
          <w:szCs w:val="28"/>
        </w:rPr>
      </w:pPr>
      <w:r>
        <w:rPr>
          <w:rFonts w:hint="eastAsia" w:ascii="仿宋_GB2312" w:hAnsi="仿宋_GB2312" w:eastAsia="仿宋_GB2312" w:cs="仿宋_GB2312"/>
          <w:color w:val="000000"/>
          <w:sz w:val="32"/>
          <w:szCs w:val="32"/>
        </w:rPr>
        <w:br w:type="page"/>
      </w:r>
      <w:r>
        <w:rPr>
          <w:rFonts w:hint="eastAsia" w:ascii="黑体" w:hAnsi="黑体" w:eastAsia="黑体" w:cs="仿宋_GB2312"/>
          <w:color w:val="000000"/>
          <w:sz w:val="28"/>
          <w:szCs w:val="28"/>
        </w:rPr>
        <w:t>附件5</w:t>
      </w:r>
    </w:p>
    <w:p>
      <w:pPr>
        <w:pStyle w:val="2"/>
        <w:rPr>
          <w:rFonts w:hint="eastAsia"/>
        </w:rPr>
      </w:pPr>
    </w:p>
    <w:p>
      <w:pPr>
        <w:snapToGrid w:val="0"/>
        <w:ind w:firstLine="0" w:firstLineChars="0"/>
        <w:jc w:val="center"/>
        <w:rPr>
          <w:rFonts w:hint="eastAsia" w:ascii="方正小标宋简体" w:hAnsi="方正小标宋简体" w:eastAsia="方正小标宋简体" w:cs="方正小标宋简体"/>
          <w:sz w:val="44"/>
          <w:szCs w:val="44"/>
          <w:lang w:bidi="ar"/>
        </w:rPr>
      </w:pPr>
      <w:r>
        <w:rPr>
          <w:rFonts w:hint="eastAsia" w:ascii="方正小标宋简体" w:hAnsi="方正小标宋简体" w:eastAsia="方正小标宋简体" w:cs="方正小标宋简体"/>
          <w:sz w:val="44"/>
          <w:szCs w:val="44"/>
          <w:lang w:bidi="ar"/>
        </w:rPr>
        <w:t>广东省2021年1</w:t>
      </w:r>
      <w:r>
        <w:rPr>
          <w:rFonts w:ascii="方正小标宋简体" w:hAnsi="方正小标宋简体" w:eastAsia="方正小标宋简体" w:cs="方正小标宋简体"/>
          <w:sz w:val="44"/>
          <w:szCs w:val="44"/>
          <w:lang w:bidi="ar"/>
        </w:rPr>
        <w:t>0</w:t>
      </w:r>
      <w:r>
        <w:rPr>
          <w:rFonts w:hint="eastAsia" w:ascii="方正小标宋简体" w:hAnsi="方正小标宋简体" w:eastAsia="方正小标宋简体" w:cs="方正小标宋简体"/>
          <w:sz w:val="44"/>
          <w:szCs w:val="44"/>
          <w:lang w:bidi="ar"/>
        </w:rPr>
        <w:t>月自学考试考生防疫要求</w:t>
      </w:r>
    </w:p>
    <w:p>
      <w:pPr>
        <w:snapToGrid w:val="0"/>
        <w:ind w:firstLine="611" w:firstLineChars="191"/>
        <w:rPr>
          <w:rFonts w:ascii="Times New Roman" w:hAnsi="Times New Roman" w:eastAsia="仿宋_GB2312"/>
          <w:sz w:val="32"/>
          <w:szCs w:val="32"/>
        </w:rPr>
      </w:pPr>
      <w:r>
        <w:rPr>
          <w:rFonts w:ascii="Times New Roman" w:hAnsi="Times New Roman" w:eastAsia="仿宋_GB2312"/>
          <w:sz w:val="32"/>
          <w:szCs w:val="32"/>
        </w:rPr>
        <w:t>1.所有考生须注册“粤康码”，</w:t>
      </w:r>
      <w:r>
        <w:rPr>
          <w:rFonts w:hint="eastAsia" w:ascii="Times New Roman" w:hAnsi="Times New Roman" w:eastAsia="仿宋_GB2312"/>
          <w:sz w:val="32"/>
          <w:szCs w:val="32"/>
        </w:rPr>
        <w:t>应及时到相关部门核实。</w:t>
      </w:r>
      <w:r>
        <w:rPr>
          <w:rFonts w:hint="eastAsia" w:ascii="Times New Roman" w:hAnsi="Times New Roman" w:eastAsia="仿宋_GB2312"/>
          <w:sz w:val="32"/>
          <w:szCs w:val="32"/>
          <w:lang w:bidi="ar"/>
        </w:rPr>
        <w:t>打印准考证时须在自学考试管理系统中如实填报“粤康码”状态等信息。</w:t>
      </w:r>
    </w:p>
    <w:p>
      <w:pPr>
        <w:snapToGrid w:val="0"/>
        <w:ind w:firstLine="611" w:firstLineChars="191"/>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.考生须进行考前14天自我健康观察，每日如实在“粤康码”中进行健康</w:t>
      </w:r>
      <w:r>
        <w:rPr>
          <w:rFonts w:hint="eastAsia" w:ascii="Times New Roman" w:hAnsi="Times New Roman" w:eastAsia="仿宋_GB2312"/>
          <w:sz w:val="32"/>
          <w:szCs w:val="32"/>
        </w:rPr>
        <w:t>情况</w:t>
      </w:r>
      <w:r>
        <w:rPr>
          <w:rFonts w:ascii="Times New Roman" w:hAnsi="Times New Roman" w:eastAsia="仿宋_GB2312"/>
          <w:sz w:val="32"/>
          <w:szCs w:val="32"/>
        </w:rPr>
        <w:t>申报，同时如</w:t>
      </w:r>
      <w:r>
        <w:rPr>
          <w:rFonts w:ascii="Times New Roman" w:hAnsi="Times New Roman" w:eastAsia="仿宋_GB2312"/>
          <w:sz w:val="32"/>
          <w:szCs w:val="32"/>
          <w:lang w:bidi="ar"/>
        </w:rPr>
        <w:t>实填写考前14天个人健康信息申报表</w:t>
      </w:r>
      <w:r>
        <w:rPr>
          <w:rFonts w:hint="eastAsia" w:ascii="Times New Roman" w:hAnsi="Times New Roman" w:eastAsia="仿宋_GB2312"/>
          <w:sz w:val="32"/>
          <w:szCs w:val="32"/>
          <w:lang w:bidi="ar"/>
        </w:rPr>
        <w:t>（见附件）</w:t>
      </w:r>
      <w:r>
        <w:rPr>
          <w:rFonts w:ascii="Times New Roman" w:hAnsi="Times New Roman" w:eastAsia="仿宋_GB2312"/>
          <w:sz w:val="32"/>
          <w:szCs w:val="32"/>
          <w:lang w:bidi="ar"/>
        </w:rPr>
        <w:t>，并在参加每场考试时提交考点工作人员。</w:t>
      </w:r>
    </w:p>
    <w:p>
      <w:pPr>
        <w:snapToGrid w:val="0"/>
        <w:ind w:firstLine="611" w:firstLineChars="191"/>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.考生应注意个人卫生和防护，考前14天内，不前往国内疫情中、高风险地区，不出国（境），不参加集聚性活动，尽量避免与外地来粤人员接触。</w:t>
      </w:r>
    </w:p>
    <w:p>
      <w:pPr>
        <w:snapToGrid w:val="0"/>
        <w:ind w:firstLine="611" w:firstLineChars="191"/>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.尚在外地的考生应了解考点所在地疫情防控相关要求，及时返回，并按属地化要求和规定进行管理，以免耽误考试。从境外或高风险地区返粤及“粤康码”红码的人员，</w:t>
      </w:r>
      <w:r>
        <w:rPr>
          <w:rFonts w:hint="eastAsia" w:ascii="Times New Roman" w:hAnsi="Times New Roman" w:eastAsia="仿宋_GB2312"/>
          <w:sz w:val="32"/>
          <w:szCs w:val="32"/>
        </w:rPr>
        <w:t>按</w:t>
      </w:r>
      <w:r>
        <w:rPr>
          <w:rFonts w:ascii="Times New Roman" w:hAnsi="Times New Roman" w:eastAsia="仿宋_GB2312"/>
          <w:sz w:val="32"/>
          <w:szCs w:val="32"/>
        </w:rPr>
        <w:t>我省卫生防疫相关规定</w:t>
      </w:r>
      <w:r>
        <w:rPr>
          <w:rFonts w:hint="eastAsia" w:ascii="Times New Roman" w:hAnsi="Times New Roman" w:eastAsia="仿宋_GB2312"/>
          <w:sz w:val="32"/>
          <w:szCs w:val="32"/>
        </w:rPr>
        <w:t>和</w:t>
      </w:r>
      <w:r>
        <w:rPr>
          <w:rFonts w:ascii="Times New Roman" w:hAnsi="Times New Roman" w:eastAsia="仿宋_GB2312"/>
          <w:sz w:val="32"/>
          <w:szCs w:val="32"/>
        </w:rPr>
        <w:t>当地</w:t>
      </w:r>
      <w:r>
        <w:rPr>
          <w:rFonts w:hint="eastAsia" w:ascii="Times New Roman" w:hAnsi="Times New Roman" w:eastAsia="仿宋_GB2312"/>
          <w:sz w:val="32"/>
          <w:szCs w:val="32"/>
        </w:rPr>
        <w:t>防疫要求采取隔离措施</w:t>
      </w:r>
      <w:r>
        <w:rPr>
          <w:rFonts w:ascii="Times New Roman" w:hAnsi="Times New Roman" w:eastAsia="仿宋_GB2312"/>
          <w:sz w:val="32"/>
          <w:szCs w:val="32"/>
        </w:rPr>
        <w:t>。</w:t>
      </w:r>
    </w:p>
    <w:p>
      <w:pPr>
        <w:snapToGrid w:val="0"/>
        <w:ind w:firstLine="611" w:firstLineChars="191"/>
        <w:rPr>
          <w:rFonts w:ascii="Times New Roman" w:hAnsi="Times New Roman" w:eastAsia="仿宋_GB2312"/>
          <w:sz w:val="32"/>
          <w:szCs w:val="32"/>
        </w:rPr>
      </w:pPr>
      <w:r>
        <w:rPr>
          <w:rFonts w:ascii="Times New Roman" w:hAnsi="Times New Roman" w:eastAsia="仿宋_GB2312"/>
          <w:sz w:val="32"/>
          <w:szCs w:val="32"/>
        </w:rPr>
        <w:t>5.考前14天内出现发热、干咳、乏力、鼻塞、流涕、咽痛、腹泻等身体状况异常（以下简称身体状况异常）、有境外或中、高风险地区活动轨迹的人员，确诊病例密切接触者，应立即按当地防疫要求报告，同时报告当地教育考试机构，按规定及时到发热门诊进行排查和核酸检测，并逐一进行综合研判评估其是否具备正常参加考试的条件。</w:t>
      </w:r>
    </w:p>
    <w:p>
      <w:pPr>
        <w:snapToGrid w:val="0"/>
        <w:ind w:firstLine="611" w:firstLineChars="191"/>
        <w:rPr>
          <w:rFonts w:ascii="Times New Roman" w:hAnsi="Times New Roman" w:eastAsia="仿宋_GB2312"/>
          <w:sz w:val="32"/>
          <w:szCs w:val="32"/>
        </w:rPr>
      </w:pPr>
      <w:r>
        <w:rPr>
          <w:rFonts w:hint="eastAsia" w:ascii="Times New Roman" w:hAnsi="Times New Roman" w:eastAsia="仿宋_GB2312"/>
          <w:sz w:val="32"/>
          <w:szCs w:val="32"/>
        </w:rPr>
        <w:t>6.</w:t>
      </w:r>
      <w:r>
        <w:rPr>
          <w:rFonts w:ascii="Times New Roman" w:hAnsi="Times New Roman" w:eastAsia="仿宋_GB2312"/>
          <w:sz w:val="32"/>
          <w:szCs w:val="32"/>
        </w:rPr>
        <w:t>低风险地区的考生，考前14天出现发热、咳嗽等呼吸道症状</w:t>
      </w:r>
      <w:r>
        <w:rPr>
          <w:rFonts w:hint="eastAsia" w:ascii="Times New Roman" w:hAnsi="Times New Roman" w:eastAsia="仿宋_GB2312"/>
          <w:sz w:val="32"/>
          <w:szCs w:val="32"/>
        </w:rPr>
        <w:t>的，</w:t>
      </w:r>
      <w:r>
        <w:rPr>
          <w:rFonts w:ascii="Times New Roman" w:hAnsi="Times New Roman" w:eastAsia="仿宋_GB2312"/>
          <w:sz w:val="32"/>
          <w:szCs w:val="32"/>
        </w:rPr>
        <w:t>须进行新冠肺炎病毒核酸检测；非低风险地区的</w:t>
      </w:r>
      <w:r>
        <w:rPr>
          <w:rFonts w:hint="eastAsia" w:ascii="Times New Roman" w:hAnsi="Times New Roman" w:eastAsia="仿宋_GB2312"/>
          <w:sz w:val="32"/>
          <w:szCs w:val="32"/>
        </w:rPr>
        <w:t>所有</w:t>
      </w:r>
      <w:r>
        <w:rPr>
          <w:rFonts w:ascii="Times New Roman" w:hAnsi="Times New Roman" w:eastAsia="仿宋_GB2312"/>
          <w:sz w:val="32"/>
          <w:szCs w:val="32"/>
        </w:rPr>
        <w:t>考生，</w:t>
      </w:r>
      <w:r>
        <w:rPr>
          <w:rFonts w:hint="eastAsia" w:ascii="Times New Roman" w:hAnsi="Times New Roman" w:eastAsia="仿宋_GB2312"/>
          <w:sz w:val="32"/>
          <w:szCs w:val="32"/>
        </w:rPr>
        <w:t>均</w:t>
      </w:r>
      <w:r>
        <w:rPr>
          <w:rFonts w:ascii="Times New Roman" w:hAnsi="Times New Roman" w:eastAsia="仿宋_GB2312"/>
          <w:sz w:val="32"/>
          <w:szCs w:val="32"/>
        </w:rPr>
        <w:t>须进行新冠肺炎病毒核酸检测或提供考前7天的检测报告。</w:t>
      </w:r>
      <w:r>
        <w:rPr>
          <w:rFonts w:ascii="Times New Roman" w:hAnsi="Times New Roman" w:eastAsia="仿宋_GB2312"/>
          <w:sz w:val="32"/>
          <w:szCs w:val="32"/>
          <w:lang w:bidi="ar"/>
        </w:rPr>
        <w:t>正处于隔离医学观察治疗或集中</w:t>
      </w:r>
      <w:r>
        <w:rPr>
          <w:rFonts w:ascii="Times New Roman" w:hAnsi="Times New Roman" w:eastAsia="仿宋_GB2312"/>
          <w:sz w:val="32"/>
          <w:szCs w:val="32"/>
        </w:rPr>
        <w:t>隔离观察期的确诊病例、疑似病例、复检阳性人员、无症状感染者，不得参加考试。</w:t>
      </w:r>
    </w:p>
    <w:p>
      <w:pPr>
        <w:snapToGrid w:val="0"/>
        <w:ind w:firstLine="611" w:firstLineChars="191"/>
        <w:rPr>
          <w:rFonts w:ascii="Times New Roman" w:hAnsi="Times New Roman" w:eastAsia="仿宋_GB2312"/>
          <w:sz w:val="32"/>
          <w:szCs w:val="32"/>
        </w:rPr>
      </w:pPr>
      <w:r>
        <w:rPr>
          <w:rFonts w:hint="eastAsia" w:ascii="Times New Roman" w:hAnsi="Times New Roman" w:eastAsia="仿宋_GB2312"/>
          <w:sz w:val="32"/>
          <w:szCs w:val="32"/>
        </w:rPr>
        <w:t>7.考生进入考点时须向考点工作人员出示手机上的“粤康码”绿码，进入考场前将手机放在指定地方。</w:t>
      </w:r>
      <w:r>
        <w:rPr>
          <w:rFonts w:ascii="Times New Roman" w:hAnsi="Times New Roman" w:eastAsia="仿宋_GB2312"/>
          <w:sz w:val="32"/>
          <w:szCs w:val="32"/>
        </w:rPr>
        <w:t>考生进入考点均要佩戴口罩</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一次性使用医用口罩或医用外科口罩</w:t>
      </w:r>
      <w:r>
        <w:rPr>
          <w:rFonts w:hint="eastAsia" w:ascii="Times New Roman" w:hAnsi="Times New Roman" w:eastAsia="仿宋_GB2312"/>
          <w:sz w:val="32"/>
          <w:szCs w:val="32"/>
        </w:rPr>
        <w:t>）</w:t>
      </w:r>
      <w:r>
        <w:rPr>
          <w:rFonts w:ascii="Times New Roman" w:hAnsi="Times New Roman" w:eastAsia="仿宋_GB2312"/>
          <w:sz w:val="32"/>
          <w:szCs w:val="32"/>
        </w:rPr>
        <w:t>，</w:t>
      </w:r>
      <w:r>
        <w:rPr>
          <w:rFonts w:hint="eastAsia" w:ascii="Times New Roman" w:hAnsi="Times New Roman" w:eastAsia="仿宋_GB2312"/>
          <w:sz w:val="32"/>
          <w:szCs w:val="32"/>
        </w:rPr>
        <w:t>接受</w:t>
      </w:r>
      <w:r>
        <w:rPr>
          <w:rFonts w:ascii="Times New Roman" w:hAnsi="Times New Roman" w:eastAsia="仿宋_GB2312"/>
          <w:sz w:val="32"/>
          <w:szCs w:val="32"/>
        </w:rPr>
        <w:t>准考证、身份证和</w:t>
      </w:r>
      <w:r>
        <w:rPr>
          <w:rFonts w:hint="eastAsia" w:ascii="Times New Roman" w:hAnsi="Times New Roman" w:eastAsia="仿宋_GB2312"/>
          <w:sz w:val="32"/>
          <w:szCs w:val="32"/>
        </w:rPr>
        <w:t>“粤康码”核查</w:t>
      </w:r>
      <w:r>
        <w:rPr>
          <w:rFonts w:ascii="Times New Roman" w:hAnsi="Times New Roman" w:eastAsia="仿宋_GB2312"/>
          <w:sz w:val="32"/>
          <w:szCs w:val="32"/>
        </w:rPr>
        <w:t>。出现身体异常情况的考生，可根据医疗卫生专业人员指引，先在临时观察区进行复核评估后作下一步处置，经医疗卫生专业人员专业评估，在保障广大考生和考试工作人员生命安全和身体健康前提下，综合研判是否具备正常参加考试的条件，具备参加考试条件的，由专人引导前往备用隔离考场；不具备参加考试条件的，不安排参加考试。</w:t>
      </w:r>
    </w:p>
    <w:p>
      <w:pPr>
        <w:snapToGrid w:val="0"/>
        <w:ind w:firstLine="611" w:firstLineChars="191"/>
        <w:rPr>
          <w:rFonts w:ascii="Times New Roman" w:hAnsi="Times New Roman" w:eastAsia="仿宋_GB2312"/>
          <w:sz w:val="32"/>
          <w:szCs w:val="32"/>
        </w:rPr>
      </w:pPr>
      <w:r>
        <w:rPr>
          <w:rFonts w:hint="eastAsia" w:ascii="Times New Roman" w:hAnsi="Times New Roman" w:eastAsia="仿宋_GB2312"/>
          <w:sz w:val="32"/>
          <w:szCs w:val="32"/>
        </w:rPr>
        <w:t>8.</w:t>
      </w:r>
      <w:r>
        <w:rPr>
          <w:rFonts w:ascii="Times New Roman" w:hAnsi="Times New Roman" w:eastAsia="仿宋_GB2312"/>
          <w:sz w:val="32"/>
          <w:szCs w:val="32"/>
        </w:rPr>
        <w:t>考生进入考场前</w:t>
      </w:r>
      <w:r>
        <w:rPr>
          <w:rFonts w:hint="eastAsia" w:ascii="Times New Roman" w:hAnsi="Times New Roman" w:eastAsia="仿宋_GB2312"/>
          <w:sz w:val="32"/>
          <w:szCs w:val="32"/>
        </w:rPr>
        <w:t>应</w:t>
      </w:r>
      <w:r>
        <w:rPr>
          <w:rFonts w:ascii="Times New Roman" w:hAnsi="Times New Roman" w:eastAsia="仿宋_GB2312"/>
          <w:sz w:val="32"/>
          <w:szCs w:val="32"/>
        </w:rPr>
        <w:t>用速干手消毒剂进行手消毒或者洗手</w:t>
      </w:r>
      <w:r>
        <w:rPr>
          <w:rFonts w:hint="eastAsia" w:ascii="Times New Roman" w:hAnsi="Times New Roman" w:eastAsia="仿宋_GB2312"/>
          <w:sz w:val="32"/>
          <w:szCs w:val="32"/>
        </w:rPr>
        <w:t>；</w:t>
      </w:r>
      <w:r>
        <w:rPr>
          <w:rFonts w:ascii="Times New Roman" w:hAnsi="Times New Roman" w:eastAsia="仿宋_GB2312"/>
          <w:sz w:val="32"/>
          <w:szCs w:val="32"/>
        </w:rPr>
        <w:t>进入</w:t>
      </w:r>
      <w:r>
        <w:rPr>
          <w:rFonts w:hint="eastAsia" w:ascii="Times New Roman" w:hAnsi="Times New Roman" w:eastAsia="仿宋_GB2312"/>
          <w:sz w:val="32"/>
          <w:szCs w:val="32"/>
        </w:rPr>
        <w:t>备用隔离</w:t>
      </w:r>
      <w:r>
        <w:rPr>
          <w:rFonts w:ascii="Times New Roman" w:hAnsi="Times New Roman" w:eastAsia="仿宋_GB2312"/>
          <w:sz w:val="32"/>
          <w:szCs w:val="32"/>
        </w:rPr>
        <w:t>考场</w:t>
      </w:r>
      <w:r>
        <w:rPr>
          <w:rFonts w:hint="eastAsia" w:ascii="Times New Roman" w:hAnsi="Times New Roman" w:eastAsia="仿宋_GB2312"/>
          <w:sz w:val="32"/>
          <w:szCs w:val="32"/>
        </w:rPr>
        <w:t>的</w:t>
      </w:r>
      <w:r>
        <w:rPr>
          <w:rFonts w:ascii="Times New Roman" w:hAnsi="Times New Roman" w:eastAsia="仿宋_GB2312"/>
          <w:sz w:val="32"/>
          <w:szCs w:val="32"/>
        </w:rPr>
        <w:t>，必须用速干手消毒剂进行手消毒，</w:t>
      </w:r>
      <w:r>
        <w:rPr>
          <w:rFonts w:hint="eastAsia" w:ascii="Times New Roman" w:hAnsi="Times New Roman" w:eastAsia="仿宋_GB2312"/>
          <w:sz w:val="32"/>
          <w:szCs w:val="32"/>
        </w:rPr>
        <w:t>且</w:t>
      </w:r>
      <w:r>
        <w:rPr>
          <w:rFonts w:ascii="Times New Roman" w:hAnsi="Times New Roman" w:eastAsia="仿宋_GB2312"/>
          <w:sz w:val="32"/>
          <w:szCs w:val="32"/>
        </w:rPr>
        <w:t>考试过程应全程佩戴口罩。</w:t>
      </w:r>
    </w:p>
    <w:p>
      <w:pPr>
        <w:snapToGrid w:val="0"/>
        <w:ind w:firstLine="611" w:firstLineChars="191"/>
        <w:rPr>
          <w:rFonts w:ascii="Times New Roman" w:hAnsi="Times New Roman" w:eastAsia="仿宋_GB2312"/>
          <w:sz w:val="32"/>
          <w:szCs w:val="32"/>
        </w:rPr>
      </w:pPr>
      <w:r>
        <w:rPr>
          <w:rFonts w:hint="eastAsia" w:ascii="Times New Roman" w:hAnsi="Times New Roman" w:eastAsia="仿宋_GB2312"/>
          <w:sz w:val="32"/>
          <w:szCs w:val="32"/>
        </w:rPr>
        <w:t>9.</w:t>
      </w:r>
      <w:r>
        <w:rPr>
          <w:rFonts w:ascii="Times New Roman" w:hAnsi="Times New Roman" w:eastAsia="仿宋_GB2312"/>
          <w:sz w:val="32"/>
          <w:szCs w:val="32"/>
        </w:rPr>
        <w:t>低风险地区，考生在进入考场前要佩戴口罩，进入考场就座后，可继续佩戴；非低风险地区、备用隔离考场的考生要全程佩戴口罩。考生进行身份核验时需摘除口罩，不得因为佩戴口罩</w:t>
      </w:r>
      <w:r>
        <w:rPr>
          <w:rFonts w:hint="eastAsia" w:ascii="Times New Roman" w:hAnsi="Times New Roman" w:eastAsia="仿宋_GB2312"/>
          <w:sz w:val="32"/>
          <w:szCs w:val="32"/>
        </w:rPr>
        <w:t>影响身份核验。</w:t>
      </w:r>
    </w:p>
    <w:p>
      <w:pPr>
        <w:snapToGrid w:val="0"/>
        <w:ind w:firstLine="640"/>
        <w:rPr>
          <w:rFonts w:ascii="Times New Roman" w:hAnsi="Times New Roman" w:eastAsia="仿宋_GB2312"/>
          <w:sz w:val="32"/>
          <w:szCs w:val="32"/>
        </w:rPr>
      </w:pPr>
      <w:r>
        <w:rPr>
          <w:rFonts w:hint="eastAsia" w:ascii="Times New Roman" w:hAnsi="Times New Roman" w:eastAsia="仿宋_GB2312"/>
          <w:sz w:val="32"/>
          <w:szCs w:val="32"/>
        </w:rPr>
        <w:t>10.</w:t>
      </w:r>
      <w:r>
        <w:rPr>
          <w:rFonts w:ascii="Times New Roman" w:hAnsi="Times New Roman" w:eastAsia="仿宋_GB2312"/>
          <w:sz w:val="32"/>
          <w:szCs w:val="32"/>
        </w:rPr>
        <w:t>考试结束后，考生要按监考员的指令有序离场，保持人员间距，减少交谈。考点可安排各考场错峰离场。</w:t>
      </w:r>
    </w:p>
    <w:p>
      <w:pPr>
        <w:snapToGrid w:val="0"/>
        <w:ind w:firstLine="640"/>
        <w:rPr>
          <w:rFonts w:ascii="Times New Roman" w:hAnsi="Times New Roman" w:eastAsia="仿宋_GB2312"/>
          <w:sz w:val="32"/>
          <w:szCs w:val="32"/>
          <w:lang w:bidi="ar"/>
        </w:rPr>
      </w:pPr>
      <w:r>
        <w:rPr>
          <w:rFonts w:ascii="Times New Roman" w:hAnsi="Times New Roman" w:eastAsia="仿宋_GB2312"/>
          <w:sz w:val="32"/>
          <w:szCs w:val="32"/>
          <w:lang w:bidi="ar"/>
        </w:rPr>
        <w:t>1</w:t>
      </w:r>
      <w:r>
        <w:rPr>
          <w:rFonts w:hint="eastAsia" w:ascii="Times New Roman" w:hAnsi="Times New Roman" w:eastAsia="仿宋_GB2312"/>
          <w:sz w:val="32"/>
          <w:szCs w:val="32"/>
          <w:lang w:bidi="ar"/>
        </w:rPr>
        <w:t>1</w:t>
      </w:r>
      <w:r>
        <w:rPr>
          <w:rFonts w:ascii="Times New Roman" w:hAnsi="Times New Roman" w:eastAsia="仿宋_GB2312"/>
          <w:sz w:val="32"/>
          <w:szCs w:val="32"/>
          <w:lang w:bidi="ar"/>
        </w:rPr>
        <w:t>.考生应遵守疫情防控规定和要求。</w:t>
      </w:r>
    </w:p>
    <w:p>
      <w:pPr>
        <w:pStyle w:val="2"/>
        <w:ind w:firstLine="0" w:firstLineChars="0"/>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361" w:right="1587" w:bottom="1361" w:left="1587" w:header="851" w:footer="992" w:gutter="0"/>
          <w:cols w:space="720" w:num="1"/>
          <w:docGrid w:type="lines" w:linePitch="312" w:charSpace="0"/>
        </w:sectPr>
      </w:pPr>
    </w:p>
    <w:p>
      <w:pPr>
        <w:pStyle w:val="2"/>
        <w:ind w:firstLine="0" w:firstLineChars="0"/>
        <w:rPr>
          <w:rFonts w:hint="eastAsia" w:ascii="黑体" w:hAnsi="黑体" w:eastAsia="黑体" w:cs="仿宋_GB2312"/>
          <w:sz w:val="28"/>
          <w:szCs w:val="28"/>
          <w:lang w:bidi="ar"/>
        </w:rPr>
      </w:pPr>
      <w:r>
        <w:rPr>
          <w:rFonts w:hint="eastAsia" w:ascii="黑体" w:hAnsi="黑体" w:eastAsia="黑体" w:cs="仿宋_GB2312"/>
          <w:sz w:val="28"/>
          <w:szCs w:val="28"/>
          <w:lang w:bidi="ar"/>
        </w:rPr>
        <w:t>附件6</w:t>
      </w:r>
    </w:p>
    <w:p>
      <w:pPr>
        <w:snapToGrid w:val="0"/>
        <w:spacing w:line="500" w:lineRule="exact"/>
        <w:ind w:firstLine="0" w:firstLineChars="0"/>
        <w:jc w:val="center"/>
        <w:rPr>
          <w:rFonts w:eastAsia="方正小标宋简体"/>
          <w:sz w:val="28"/>
          <w:szCs w:val="32"/>
        </w:rPr>
      </w:pPr>
      <w:r>
        <w:rPr>
          <w:rFonts w:ascii="Times New Roman" w:hAnsi="Times New Roman" w:eastAsia="方正小标宋简体"/>
          <w:sz w:val="40"/>
          <w:szCs w:val="44"/>
        </w:rPr>
        <w:t>广东省高等教育自学考试健康信息申报表</w:t>
      </w:r>
    </w:p>
    <w:p>
      <w:pPr>
        <w:snapToGrid w:val="0"/>
        <w:spacing w:line="500" w:lineRule="exact"/>
        <w:ind w:firstLine="480"/>
        <w:jc w:val="left"/>
        <w:rPr>
          <w:rFonts w:ascii="Times New Roman" w:hAnsi="Times New Roman" w:eastAsia="黑体"/>
          <w:sz w:val="24"/>
          <w:szCs w:val="24"/>
          <w:u w:val="single"/>
        </w:rPr>
      </w:pPr>
      <w:r>
        <w:rPr>
          <w:rFonts w:ascii="Times New Roman" w:hAnsi="Times New Roman" w:eastAsia="黑体"/>
          <w:sz w:val="24"/>
          <w:szCs w:val="24"/>
        </w:rPr>
        <w:t>姓名（签名）：</w:t>
      </w:r>
      <w:r>
        <w:rPr>
          <w:rFonts w:ascii="Times New Roman" w:hAnsi="Times New Roman" w:eastAsia="黑体"/>
          <w:sz w:val="24"/>
          <w:szCs w:val="24"/>
          <w:u w:val="single"/>
        </w:rPr>
        <w:t xml:space="preserve">                      </w:t>
      </w:r>
      <w:r>
        <w:rPr>
          <w:rFonts w:ascii="Times New Roman" w:hAnsi="Times New Roman" w:eastAsia="黑体"/>
          <w:sz w:val="24"/>
          <w:szCs w:val="24"/>
        </w:rPr>
        <w:t>身份证号码：</w:t>
      </w:r>
      <w:r>
        <w:rPr>
          <w:rFonts w:ascii="Times New Roman" w:hAnsi="Times New Roman" w:eastAsia="黑体"/>
          <w:sz w:val="24"/>
          <w:szCs w:val="24"/>
          <w:u w:val="single"/>
        </w:rPr>
        <w:t xml:space="preserve">                    </w:t>
      </w:r>
    </w:p>
    <w:p>
      <w:pPr>
        <w:snapToGrid w:val="0"/>
        <w:spacing w:line="500" w:lineRule="exact"/>
        <w:ind w:firstLine="480"/>
        <w:jc w:val="left"/>
        <w:rPr>
          <w:rFonts w:ascii="Times New Roman" w:hAnsi="Times New Roman" w:eastAsia="黑体"/>
          <w:sz w:val="24"/>
          <w:szCs w:val="24"/>
          <w:u w:val="single"/>
        </w:rPr>
      </w:pPr>
      <w:r>
        <w:rPr>
          <w:rFonts w:ascii="Times New Roman" w:hAnsi="Times New Roman" w:eastAsia="黑体"/>
          <w:sz w:val="24"/>
          <w:szCs w:val="24"/>
        </w:rPr>
        <w:t>准考证号码：</w:t>
      </w:r>
      <w:r>
        <w:rPr>
          <w:rFonts w:ascii="Times New Roman" w:hAnsi="Times New Roman" w:eastAsia="黑体"/>
          <w:sz w:val="24"/>
          <w:szCs w:val="24"/>
          <w:u w:val="single"/>
        </w:rPr>
        <w:t xml:space="preserve">                      </w:t>
      </w:r>
      <w:r>
        <w:rPr>
          <w:rFonts w:ascii="Times New Roman" w:hAnsi="Times New Roman" w:eastAsia="黑体"/>
          <w:sz w:val="24"/>
          <w:szCs w:val="24"/>
        </w:rPr>
        <w:t xml:space="preserve"> 联系电话：</w:t>
      </w:r>
      <w:r>
        <w:rPr>
          <w:rFonts w:ascii="Times New Roman" w:hAnsi="Times New Roman" w:eastAsia="黑体"/>
          <w:sz w:val="24"/>
          <w:szCs w:val="24"/>
          <w:u w:val="single"/>
        </w:rPr>
        <w:t xml:space="preserve">                      </w:t>
      </w:r>
    </w:p>
    <w:tbl>
      <w:tblPr>
        <w:tblStyle w:val="7"/>
        <w:tblW w:w="0" w:type="auto"/>
        <w:jc w:val="center"/>
        <w:tblLayout w:type="fixed"/>
        <w:tblCellMar>
          <w:top w:w="15" w:type="dxa"/>
          <w:left w:w="15" w:type="dxa"/>
          <w:bottom w:w="15" w:type="dxa"/>
          <w:right w:w="15" w:type="dxa"/>
        </w:tblCellMar>
      </w:tblPr>
      <w:tblGrid>
        <w:gridCol w:w="590"/>
        <w:gridCol w:w="986"/>
        <w:gridCol w:w="665"/>
        <w:gridCol w:w="2998"/>
        <w:gridCol w:w="1095"/>
        <w:gridCol w:w="795"/>
        <w:gridCol w:w="2009"/>
        <w:gridCol w:w="1051"/>
      </w:tblGrid>
      <w:tr>
        <w:tblPrEx>
          <w:tblCellMar>
            <w:top w:w="15" w:type="dxa"/>
            <w:left w:w="15" w:type="dxa"/>
            <w:bottom w:w="15" w:type="dxa"/>
            <w:right w:w="15" w:type="dxa"/>
          </w:tblCellMar>
        </w:tblPrEx>
        <w:trPr>
          <w:wBefore w:w="0" w:type="dxa"/>
          <w:wAfter w:w="0" w:type="dxa"/>
          <w:trHeight w:val="236" w:hRule="atLeast"/>
          <w:tblHeader/>
          <w:jc w:val="center"/>
        </w:trPr>
        <w:tc>
          <w:tcPr>
            <w:tcW w:w="59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kern w:val="0"/>
                <w:sz w:val="20"/>
                <w:szCs w:val="20"/>
                <w:lang w:bidi="ar"/>
              </w:rPr>
            </w:pPr>
            <w:r>
              <w:rPr>
                <w:rFonts w:hint="eastAsia" w:ascii="黑体" w:hAnsi="黑体" w:eastAsia="黑体" w:cs="黑体"/>
                <w:kern w:val="0"/>
                <w:sz w:val="20"/>
                <w:szCs w:val="20"/>
                <w:lang w:bidi="ar"/>
              </w:rPr>
              <w:t>序号</w:t>
            </w:r>
          </w:p>
        </w:tc>
        <w:tc>
          <w:tcPr>
            <w:tcW w:w="98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kern w:val="0"/>
                <w:sz w:val="20"/>
                <w:szCs w:val="20"/>
                <w:lang w:bidi="ar"/>
              </w:rPr>
            </w:pPr>
            <w:r>
              <w:rPr>
                <w:rFonts w:hint="eastAsia" w:ascii="黑体" w:hAnsi="黑体" w:eastAsia="黑体" w:cs="黑体"/>
                <w:kern w:val="0"/>
                <w:sz w:val="20"/>
                <w:szCs w:val="20"/>
                <w:lang w:bidi="ar"/>
              </w:rPr>
              <w:t>日期</w:t>
            </w:r>
          </w:p>
        </w:tc>
        <w:tc>
          <w:tcPr>
            <w:tcW w:w="366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kern w:val="0"/>
                <w:sz w:val="20"/>
                <w:szCs w:val="20"/>
                <w:lang w:bidi="ar"/>
              </w:rPr>
            </w:pPr>
            <w:r>
              <w:rPr>
                <w:rFonts w:hint="eastAsia" w:ascii="黑体" w:hAnsi="黑体" w:eastAsia="黑体" w:cs="黑体"/>
                <w:kern w:val="0"/>
                <w:sz w:val="20"/>
                <w:szCs w:val="20"/>
                <w:lang w:bidi="ar"/>
              </w:rPr>
              <w:t>健康信息</w:t>
            </w:r>
          </w:p>
        </w:tc>
        <w:tc>
          <w:tcPr>
            <w:tcW w:w="3899"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szCs w:val="20"/>
              </w:rPr>
            </w:pPr>
            <w:r>
              <w:rPr>
                <w:rFonts w:hint="eastAsia" w:ascii="黑体" w:hAnsi="黑体" w:eastAsia="黑体" w:cs="黑体"/>
                <w:kern w:val="0"/>
                <w:szCs w:val="20"/>
                <w:lang w:bidi="ar"/>
              </w:rPr>
              <w:t>行程记录</w:t>
            </w:r>
          </w:p>
        </w:tc>
        <w:tc>
          <w:tcPr>
            <w:tcW w:w="105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sz w:val="20"/>
                <w:szCs w:val="20"/>
              </w:rPr>
            </w:pPr>
            <w:r>
              <w:rPr>
                <w:rFonts w:hint="eastAsia" w:ascii="黑体" w:hAnsi="黑体" w:eastAsia="黑体" w:cs="黑体"/>
                <w:kern w:val="0"/>
                <w:szCs w:val="20"/>
                <w:lang w:bidi="ar"/>
              </w:rPr>
              <w:t>14天内是否与确诊病例接触</w:t>
            </w:r>
          </w:p>
        </w:tc>
      </w:tr>
      <w:tr>
        <w:tblPrEx>
          <w:tblCellMar>
            <w:top w:w="15" w:type="dxa"/>
            <w:left w:w="15" w:type="dxa"/>
            <w:bottom w:w="15" w:type="dxa"/>
            <w:right w:w="15" w:type="dxa"/>
          </w:tblCellMar>
        </w:tblPrEx>
        <w:trPr>
          <w:wBefore w:w="0" w:type="dxa"/>
          <w:wAfter w:w="0" w:type="dxa"/>
          <w:trHeight w:val="531" w:hRule="atLeast"/>
          <w:tblHeader/>
          <w:jc w:val="center"/>
        </w:trPr>
        <w:tc>
          <w:tcPr>
            <w:tcW w:w="590"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ind w:firstLine="420"/>
              <w:jc w:val="center"/>
              <w:rPr>
                <w:rFonts w:ascii="Times New Roman" w:hAnsi="Times New Roman" w:eastAsia="黑体"/>
                <w:szCs w:val="20"/>
              </w:rPr>
            </w:pPr>
          </w:p>
        </w:tc>
        <w:tc>
          <w:tcPr>
            <w:tcW w:w="986"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ind w:firstLine="420"/>
              <w:jc w:val="center"/>
              <w:rPr>
                <w:rFonts w:ascii="Times New Roman" w:hAnsi="Times New Roman" w:eastAsia="黑体"/>
                <w:szCs w:val="20"/>
              </w:rPr>
            </w:pPr>
          </w:p>
        </w:tc>
        <w:tc>
          <w:tcPr>
            <w:tcW w:w="36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ind w:firstLine="420"/>
              <w:jc w:val="center"/>
              <w:rPr>
                <w:rFonts w:ascii="Times New Roman" w:hAnsi="Times New Roman" w:eastAsia="黑体"/>
                <w:szCs w:val="20"/>
              </w:rPr>
            </w:pP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kern w:val="0"/>
                <w:sz w:val="20"/>
                <w:szCs w:val="20"/>
                <w:lang w:bidi="ar"/>
              </w:rPr>
            </w:pPr>
            <w:r>
              <w:rPr>
                <w:rFonts w:hint="eastAsia" w:ascii="黑体" w:hAnsi="黑体" w:eastAsia="黑体" w:cs="黑体"/>
                <w:kern w:val="0"/>
                <w:sz w:val="20"/>
                <w:szCs w:val="20"/>
                <w:lang w:bidi="ar"/>
              </w:rPr>
              <w:t>是否离开过广东省</w:t>
            </w:r>
          </w:p>
        </w:tc>
        <w:tc>
          <w:tcPr>
            <w:tcW w:w="280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00" w:lineRule="exact"/>
              <w:ind w:firstLine="0" w:firstLineChars="0"/>
              <w:jc w:val="center"/>
              <w:textAlignment w:val="center"/>
              <w:rPr>
                <w:rFonts w:hint="eastAsia" w:ascii="黑体" w:hAnsi="黑体" w:eastAsia="黑体" w:cs="黑体"/>
                <w:kern w:val="0"/>
                <w:sz w:val="20"/>
                <w:szCs w:val="20"/>
                <w:lang w:bidi="ar"/>
              </w:rPr>
            </w:pPr>
            <w:r>
              <w:rPr>
                <w:rFonts w:hint="eastAsia" w:ascii="黑体" w:hAnsi="黑体" w:eastAsia="黑体" w:cs="黑体"/>
                <w:kern w:val="0"/>
                <w:sz w:val="20"/>
                <w:szCs w:val="20"/>
                <w:lang w:bidi="ar"/>
              </w:rPr>
              <w:t>是否去过疫情高、中风险及</w:t>
            </w:r>
          </w:p>
          <w:p>
            <w:pPr>
              <w:widowControl/>
              <w:adjustRightInd w:val="0"/>
              <w:snapToGrid w:val="0"/>
              <w:spacing w:line="300" w:lineRule="exact"/>
              <w:ind w:firstLine="0" w:firstLineChars="0"/>
              <w:jc w:val="center"/>
              <w:textAlignment w:val="center"/>
              <w:rPr>
                <w:rFonts w:hint="eastAsia" w:ascii="黑体" w:hAnsi="黑体" w:eastAsia="黑体" w:cs="黑体"/>
                <w:kern w:val="0"/>
                <w:sz w:val="20"/>
                <w:szCs w:val="20"/>
                <w:lang w:bidi="ar"/>
              </w:rPr>
            </w:pPr>
            <w:r>
              <w:rPr>
                <w:rFonts w:hint="eastAsia" w:ascii="黑体" w:hAnsi="黑体" w:eastAsia="黑体" w:cs="黑体"/>
                <w:kern w:val="0"/>
                <w:sz w:val="20"/>
                <w:szCs w:val="20"/>
                <w:lang w:bidi="ar"/>
              </w:rPr>
              <w:t>重点地区</w:t>
            </w:r>
          </w:p>
        </w:tc>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ind w:firstLine="402"/>
              <w:jc w:val="center"/>
              <w:rPr>
                <w:rFonts w:ascii="Times New Roman" w:hAnsi="Times New Roman" w:eastAsia="仿宋_GB2312"/>
                <w:b/>
                <w:sz w:val="20"/>
                <w:szCs w:val="20"/>
              </w:rPr>
            </w:pP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p>
        </w:tc>
        <w:tc>
          <w:tcPr>
            <w:tcW w:w="98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16</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2</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15</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3</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14</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4</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13</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5</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12</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6</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11</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7</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10</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8</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9</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9</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8</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10</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7</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11</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6</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12</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5</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13</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4</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14</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3</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r>
        <w:tblPrEx>
          <w:tblCellMar>
            <w:top w:w="15" w:type="dxa"/>
            <w:left w:w="15" w:type="dxa"/>
            <w:bottom w:w="15" w:type="dxa"/>
            <w:right w:w="15" w:type="dxa"/>
          </w:tblCellMar>
        </w:tblPrEx>
        <w:trPr>
          <w:wBefore w:w="0" w:type="dxa"/>
          <w:wAfter w:w="0" w:type="dxa"/>
          <w:trHeight w:val="624" w:hRule="atLeast"/>
          <w:jc w:val="center"/>
        </w:trPr>
        <w:tc>
          <w:tcPr>
            <w:tcW w:w="590"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jc w:val="center"/>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15</w:t>
            </w:r>
          </w:p>
        </w:tc>
        <w:tc>
          <w:tcPr>
            <w:tcW w:w="986"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1</w:t>
            </w:r>
            <w:r>
              <w:rPr>
                <w:rFonts w:ascii="Times New Roman" w:hAnsi="Times New Roman" w:eastAsia="仿宋_GB2312"/>
                <w:kern w:val="0"/>
                <w:sz w:val="20"/>
                <w:szCs w:val="20"/>
                <w:lang w:bidi="ar"/>
              </w:rPr>
              <w:t>0</w:t>
            </w:r>
            <w:r>
              <w:rPr>
                <w:rFonts w:hint="eastAsia" w:ascii="Times New Roman" w:hAnsi="Times New Roman" w:eastAsia="仿宋_GB2312"/>
                <w:kern w:val="0"/>
                <w:sz w:val="20"/>
                <w:szCs w:val="20"/>
                <w:lang w:bidi="ar"/>
              </w:rPr>
              <w:t>月</w:t>
            </w:r>
            <w:r>
              <w:rPr>
                <w:rFonts w:ascii="Times New Roman" w:hAnsi="Times New Roman" w:eastAsia="仿宋_GB2312"/>
                <w:kern w:val="0"/>
                <w:sz w:val="20"/>
                <w:szCs w:val="20"/>
                <w:lang w:bidi="ar"/>
              </w:rPr>
              <w:t>2</w:t>
            </w:r>
            <w:r>
              <w:rPr>
                <w:rFonts w:hint="eastAsia" w:ascii="Times New Roman" w:hAnsi="Times New Roman" w:eastAsia="仿宋_GB2312"/>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ind w:firstLine="0" w:firstLineChars="0"/>
              <w:textAlignment w:val="center"/>
              <w:rPr>
                <w:rFonts w:hint="eastAsia" w:ascii="Times New Roman" w:hAnsi="Times New Roman" w:eastAsia="仿宋_GB2312"/>
                <w:kern w:val="0"/>
                <w:sz w:val="20"/>
                <w:szCs w:val="20"/>
                <w:lang w:bidi="ar"/>
              </w:rPr>
            </w:pPr>
            <w:r>
              <w:rPr>
                <w:rFonts w:hint="eastAsia" w:ascii="Times New Roman" w:hAnsi="Times New Roman" w:eastAsia="仿宋_GB2312"/>
                <w:kern w:val="0"/>
                <w:sz w:val="20"/>
                <w:szCs w:val="20"/>
                <w:lang w:bidi="ar"/>
              </w:rPr>
              <w:t>□是  □否</w:t>
            </w:r>
          </w:p>
        </w:tc>
      </w:tr>
    </w:tbl>
    <w:p>
      <w:pPr>
        <w:pStyle w:val="2"/>
        <w:snapToGrid w:val="0"/>
        <w:spacing w:line="360" w:lineRule="exact"/>
        <w:ind w:left="1030" w:leftChars="189" w:hanging="633" w:hangingChars="264"/>
        <w:jc w:val="left"/>
      </w:pPr>
      <w:r>
        <w:rPr>
          <w:rFonts w:eastAsia="仿宋_GB2312"/>
          <w:sz w:val="24"/>
        </w:rPr>
        <w:t>注: 1.考生须认真、如实申报，在相应的</w:t>
      </w:r>
      <w:r>
        <w:rPr>
          <w:kern w:val="0"/>
          <w:sz w:val="20"/>
          <w:szCs w:val="20"/>
          <w:lang w:bidi="ar"/>
        </w:rPr>
        <w:t>□内打√</w:t>
      </w:r>
      <w:r>
        <w:rPr>
          <w:rFonts w:eastAsia="仿宋_GB2312"/>
          <w:sz w:val="24"/>
        </w:rPr>
        <w:t>。如出现感冒样症状，喘憋、呼吸急促恶心呕吐、腹泻，心慌、胸闷，结膜炎以及其他异常的须如实填写信息情况</w:t>
      </w:r>
    </w:p>
    <w:p>
      <w:pPr>
        <w:adjustRightInd w:val="0"/>
        <w:snapToGrid w:val="0"/>
        <w:spacing w:line="360" w:lineRule="exact"/>
        <w:ind w:firstLineChars="300"/>
        <w:jc w:val="left"/>
        <w:rPr>
          <w:rFonts w:ascii="Times New Roman" w:hAnsi="Times New Roman" w:eastAsia="仿宋_GB2312"/>
          <w:sz w:val="24"/>
        </w:rPr>
      </w:pPr>
      <w:r>
        <w:rPr>
          <w:rFonts w:ascii="Times New Roman" w:hAnsi="Times New Roman" w:eastAsia="仿宋_GB2312"/>
          <w:sz w:val="24"/>
        </w:rPr>
        <w:t>2.考生应自行打印、填写本申报表，并在接受检查时向考点工作人员提供</w:t>
      </w:r>
    </w:p>
    <w:p>
      <w:pPr>
        <w:adjustRightInd w:val="0"/>
        <w:snapToGrid w:val="0"/>
        <w:spacing w:line="360" w:lineRule="exact"/>
        <w:ind w:firstLine="0" w:firstLineChars="0"/>
        <w:jc w:val="left"/>
        <w:rPr>
          <w:rFonts w:hint="eastAsia" w:ascii="黑体" w:hAnsi="黑体" w:eastAsia="黑体" w:cs="仿宋_GB2312"/>
          <w:color w:val="000000"/>
          <w:sz w:val="28"/>
          <w:szCs w:val="28"/>
        </w:rPr>
      </w:pPr>
      <w:r>
        <w:rPr>
          <w:rFonts w:ascii="Times New Roman" w:hAnsi="Times New Roman" w:eastAsia="仿宋_GB2312"/>
          <w:sz w:val="24"/>
        </w:rPr>
        <w:br w:type="page"/>
      </w:r>
      <w:r>
        <w:rPr>
          <w:rFonts w:hint="eastAsia" w:ascii="黑体" w:hAnsi="黑体" w:eastAsia="黑体" w:cs="仿宋_GB2312"/>
          <w:color w:val="000000"/>
          <w:sz w:val="28"/>
          <w:szCs w:val="28"/>
        </w:rPr>
        <w:t>附件7</w:t>
      </w:r>
    </w:p>
    <w:p>
      <w:pPr>
        <w:pStyle w:val="2"/>
        <w:rPr>
          <w:rFonts w:hint="eastAsia"/>
        </w:rPr>
      </w:pPr>
    </w:p>
    <w:p>
      <w:pPr>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各市自学考试办公室咨询电话一览表</w:t>
      </w:r>
    </w:p>
    <w:p>
      <w:pPr>
        <w:spacing w:line="300" w:lineRule="exact"/>
        <w:ind w:firstLine="880"/>
        <w:jc w:val="center"/>
        <w:rPr>
          <w:rFonts w:hint="eastAsia" w:ascii="方正小标宋简体" w:hAnsi="方正小标宋简体" w:eastAsia="方正小标宋简体" w:cs="方正小标宋简体"/>
          <w:color w:val="000000"/>
          <w:sz w:val="44"/>
          <w:szCs w:val="44"/>
        </w:rPr>
      </w:pPr>
    </w:p>
    <w:tbl>
      <w:tblPr>
        <w:tblStyle w:val="7"/>
        <w:tblW w:w="0" w:type="auto"/>
        <w:jc w:val="center"/>
        <w:tblLayout w:type="fixed"/>
        <w:tblCellMar>
          <w:top w:w="0" w:type="dxa"/>
          <w:left w:w="0" w:type="dxa"/>
          <w:bottom w:w="0" w:type="dxa"/>
          <w:right w:w="0" w:type="dxa"/>
        </w:tblCellMar>
      </w:tblPr>
      <w:tblGrid>
        <w:gridCol w:w="3495"/>
        <w:gridCol w:w="4902"/>
      </w:tblGrid>
      <w:tr>
        <w:tblPrEx>
          <w:tblCellMar>
            <w:top w:w="0" w:type="dxa"/>
            <w:left w:w="0" w:type="dxa"/>
            <w:bottom w:w="0" w:type="dxa"/>
            <w:right w:w="0" w:type="dxa"/>
          </w:tblCellMar>
        </w:tblPrEx>
        <w:trPr>
          <w:wBefore w:w="0" w:type="dxa"/>
          <w:trHeight w:val="450"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640"/>
              <w:jc w:val="center"/>
              <w:textAlignment w:val="center"/>
              <w:rPr>
                <w:rFonts w:hint="eastAsia" w:ascii="黑体" w:hAnsi="黑体" w:eastAsia="黑体" w:cs="黑体"/>
                <w:color w:val="000000"/>
                <w:sz w:val="32"/>
                <w:szCs w:val="32"/>
              </w:rPr>
            </w:pPr>
            <w:r>
              <w:rPr>
                <w:rFonts w:hint="eastAsia" w:ascii="黑体" w:hAnsi="黑体" w:eastAsia="黑体" w:cs="黑体"/>
                <w:color w:val="000000"/>
                <w:kern w:val="0"/>
                <w:sz w:val="32"/>
                <w:szCs w:val="32"/>
                <w:lang w:bidi="ar"/>
              </w:rPr>
              <w:t>地市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640"/>
              <w:jc w:val="center"/>
              <w:textAlignment w:val="center"/>
              <w:rPr>
                <w:rFonts w:hint="eastAsia" w:ascii="黑体" w:hAnsi="黑体" w:eastAsia="黑体" w:cs="黑体"/>
                <w:color w:val="000000"/>
                <w:sz w:val="32"/>
                <w:szCs w:val="32"/>
              </w:rPr>
            </w:pPr>
            <w:r>
              <w:rPr>
                <w:rFonts w:hint="eastAsia" w:ascii="黑体" w:hAnsi="黑体" w:eastAsia="黑体" w:cs="黑体"/>
                <w:color w:val="000000"/>
                <w:kern w:val="0"/>
                <w:sz w:val="32"/>
                <w:szCs w:val="32"/>
                <w:lang w:bidi="ar"/>
              </w:rPr>
              <w:t>咨询电话</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广州市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020-83862072</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韶关市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0751-8912116</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深圳市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0755-82181999</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珠海市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0756-2121325</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汕头市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0754-88860197</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佛山市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0757-83352756</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江门市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0750-3503934</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湛江市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0759-3339667</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茂名市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0668-2270141</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肇庆市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0758-2843139</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惠州市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0752-2399622</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梅州市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0753-2180858</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汕尾市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0660-3390696</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河源市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0762-3389506</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阳江市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0662-3333920</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清远市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0763-3383491</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东莞市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0769-23126082</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中山市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0760-89989286</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潮州市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0768-2805032</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揭阳市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0663-8724409</w:t>
            </w:r>
          </w:p>
        </w:tc>
      </w:tr>
      <w:tr>
        <w:tblPrEx>
          <w:tblCellMar>
            <w:top w:w="0" w:type="dxa"/>
            <w:left w:w="0" w:type="dxa"/>
            <w:bottom w:w="0" w:type="dxa"/>
            <w:right w:w="0" w:type="dxa"/>
          </w:tblCellMar>
        </w:tblPrEx>
        <w:trPr>
          <w:wBefore w:w="0" w:type="dxa"/>
          <w:trHeight w:val="375" w:hRule="atLeast"/>
          <w:jc w:val="center"/>
        </w:trPr>
        <w:tc>
          <w:tcPr>
            <w:tcW w:w="34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云浮市</w:t>
            </w:r>
          </w:p>
        </w:tc>
        <w:tc>
          <w:tcPr>
            <w:tcW w:w="49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40" w:lineRule="exact"/>
              <w:ind w:firstLine="560"/>
              <w:jc w:val="center"/>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kern w:val="0"/>
                <w:sz w:val="28"/>
                <w:szCs w:val="28"/>
                <w:lang w:bidi="ar"/>
              </w:rPr>
              <w:t>0766-8830608</w:t>
            </w:r>
          </w:p>
        </w:tc>
      </w:tr>
    </w:tbl>
    <w:p>
      <w:pPr>
        <w:widowControl/>
        <w:spacing w:line="440" w:lineRule="exact"/>
        <w:ind w:firstLine="560"/>
        <w:jc w:val="left"/>
        <w:textAlignment w:val="center"/>
        <w:rPr>
          <w:rFonts w:hint="eastAsia" w:ascii="仿宋_GB2312" w:hAnsi="宋体" w:eastAsia="仿宋_GB2312" w:cs="仿宋_GB2312"/>
          <w:color w:val="000000"/>
          <w:sz w:val="28"/>
          <w:szCs w:val="28"/>
        </w:rPr>
      </w:pPr>
      <w:r>
        <w:rPr>
          <w:rFonts w:hint="eastAsia" w:ascii="仿宋_GB2312" w:hAnsi="宋体" w:eastAsia="仿宋_GB2312" w:cs="仿宋_GB2312"/>
          <w:color w:val="000000"/>
          <w:sz w:val="28"/>
          <w:szCs w:val="28"/>
        </w:rPr>
        <w:t>注：如有变更，以各市最新公布为准</w:t>
      </w:r>
    </w:p>
    <w:p>
      <w:pPr>
        <w:ind w:firstLine="420"/>
      </w:pPr>
    </w:p>
    <w:p>
      <w:pPr>
        <w:ind w:firstLine="420"/>
      </w:pPr>
    </w:p>
    <w:p>
      <w:pPr>
        <w:ind w:firstLine="420"/>
      </w:pPr>
    </w:p>
    <w:sectPr>
      <w:pgSz w:w="11906" w:h="16838"/>
      <w:pgMar w:top="1020" w:right="1020" w:bottom="1361" w:left="158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r>
      <w:rPr>
        <w:lang/>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7020" cy="3556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87020" cy="355600"/>
                      </a:xfrm>
                      <a:prstGeom prst="rect">
                        <a:avLst/>
                      </a:prstGeom>
                      <a:noFill/>
                      <a:ln w="6350">
                        <a:noFill/>
                      </a:ln>
                      <a:effectLst/>
                    </wps:spPr>
                    <wps:txbx>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8pt;width:22.6pt;mso-position-horizontal:center;mso-position-horizontal-relative:margin;mso-wrap-style:none;z-index:251659264;mso-width-relative:page;mso-height-relative:page;" filled="f" stroked="f" coordsize="21600,21600" o:gfxdata="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DurX9IAAAADAQAADwAAAAAAAAABACAAAAAiAAAAZHJzL2Rvd25yZXYueG1s&#10;UEsBAhQAFAAAAAgAh07iQHLelKM3AgAAYwQAAA4AAAAAAAAAAQAgAAAAIQEAAGRycy9lMm9Eb2Mu&#10;eG1sUEsFBgAAAAAGAAYAWQEAAMoFAAAAAA==&#10;">
              <v:fill on="f" focussize="0,0"/>
              <v:stroke on="f" weight="0.5pt"/>
              <v:imagedata o:title=""/>
              <o:lock v:ext="edit" aspectratio="f"/>
              <v:textbox inset="0mm,0mm,0mm,0mm" style="mso-fit-shape-to-text:t;">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rPr>
                      <w:t>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54C8D15400005B07" w:val=" "/>
    <w:docVar w:name="60E2C93800007D50" w:val=" "/>
    <w:docVar w:name="60E3D50100004B21" w:val=" "/>
    <w:docVar w:name="60E7B73A00001BD4" w:val=" "/>
    <w:docVar w:name="60E7BBB30000947C" w:val=" "/>
    <w:docVar w:name="60EBC966000053FB" w:val=" "/>
    <w:docVar w:name="60ED03C10000DE46" w:val=" "/>
    <w:docVar w:name="60ED4FE2000084C7" w:val=" "/>
    <w:docVar w:name="60ED70FC0000D0C0" w:val=" "/>
    <w:docVar w:name="60ED749D0000FDB8" w:val=" "/>
  </w:docVars>
  <w:rsids>
    <w:rsidRoot w:val="00E57BE6"/>
    <w:rsid w:val="00205308"/>
    <w:rsid w:val="00424EE2"/>
    <w:rsid w:val="0059681E"/>
    <w:rsid w:val="0061517F"/>
    <w:rsid w:val="008E749A"/>
    <w:rsid w:val="00AD5ACF"/>
    <w:rsid w:val="00C922D0"/>
    <w:rsid w:val="00C9764D"/>
    <w:rsid w:val="00E57BE6"/>
    <w:rsid w:val="0ABB009F"/>
    <w:rsid w:val="1861723A"/>
    <w:rsid w:val="1CDC010A"/>
    <w:rsid w:val="1EC807D8"/>
    <w:rsid w:val="2BE72370"/>
    <w:rsid w:val="36BF321A"/>
    <w:rsid w:val="390A3DDE"/>
    <w:rsid w:val="4BA01624"/>
    <w:rsid w:val="4E935545"/>
    <w:rsid w:val="51C22F0F"/>
    <w:rsid w:val="52FB2E45"/>
    <w:rsid w:val="5BD6492B"/>
    <w:rsid w:val="5D2D5E66"/>
    <w:rsid w:val="66B9456D"/>
    <w:rsid w:val="69E54D0C"/>
    <w:rsid w:val="6CA44695"/>
    <w:rsid w:val="771F184C"/>
    <w:rsid w:val="7D4D08DA"/>
    <w:rsid w:val="7FDD2C1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next w:val="2"/>
    <w:qFormat/>
    <w:uiPriority w:val="0"/>
    <w:pPr>
      <w:widowControl w:val="0"/>
      <w:spacing w:line="560" w:lineRule="exact"/>
      <w:ind w:firstLine="720" w:firstLineChars="200"/>
      <w:jc w:val="both"/>
    </w:pPr>
    <w:rPr>
      <w:kern w:val="2"/>
      <w:sz w:val="21"/>
      <w:szCs w:val="22"/>
      <w:lang w:val="en-US" w:eastAsia="zh-CN" w:bidi="ar-SA"/>
    </w:rPr>
  </w:style>
  <w:style w:type="paragraph" w:styleId="3">
    <w:name w:val="heading 2"/>
    <w:basedOn w:val="1"/>
    <w:next w:val="1"/>
    <w:link w:val="10"/>
    <w:qFormat/>
    <w:uiPriority w:val="0"/>
    <w:pPr>
      <w:keepNext/>
      <w:keepLines/>
      <w:widowControl/>
      <w:contextualSpacing/>
      <w:jc w:val="left"/>
      <w:outlineLvl w:val="1"/>
    </w:pPr>
    <w:rPr>
      <w:rFonts w:ascii="Times New Roman" w:hAnsi="Times New Roman" w:eastAsia="黑体"/>
      <w:bCs/>
      <w:kern w:val="0"/>
      <w:sz w:val="32"/>
      <w:szCs w:val="36"/>
      <w:lang w:val="en-GB"/>
    </w:rPr>
  </w:style>
  <w:style w:type="character" w:default="1" w:styleId="8">
    <w:name w:val="Default Paragraph Font"/>
    <w:unhideWhenUsed/>
    <w:uiPriority w:val="1"/>
  </w:style>
  <w:style w:type="table" w:default="1" w:styleId="7">
    <w:name w:val="Normal Table"/>
    <w:unhideWhenUsed/>
    <w:uiPriority w:val="99"/>
    <w:tblPr>
      <w:tblStyle w:val="7"/>
      <w:tblCellMar>
        <w:top w:w="0" w:type="dxa"/>
        <w:left w:w="108" w:type="dxa"/>
        <w:bottom w:w="0" w:type="dxa"/>
        <w:right w:w="108" w:type="dxa"/>
      </w:tblCellMar>
    </w:tblPr>
  </w:style>
  <w:style w:type="paragraph" w:customStyle="1" w:styleId="2">
    <w:name w:val="BodyText1I2"/>
    <w:basedOn w:val="1"/>
    <w:next w:val="1"/>
    <w:qFormat/>
    <w:uiPriority w:val="0"/>
    <w:pPr>
      <w:ind w:firstLine="420"/>
      <w:textAlignment w:val="baseline"/>
    </w:pPr>
    <w:rPr>
      <w:rFonts w:ascii="Times New Roman" w:hAnsi="Times New Roman"/>
      <w:szCs w:val="32"/>
    </w:rPr>
  </w:style>
  <w:style w:type="paragraph" w:styleId="4">
    <w:name w:val="footer"/>
    <w:basedOn w:val="1"/>
    <w:next w:val="1"/>
    <w:link w:val="11"/>
    <w:uiPriority w:val="0"/>
    <w:pPr>
      <w:tabs>
        <w:tab w:val="center" w:pos="4153"/>
        <w:tab w:val="right" w:pos="8306"/>
      </w:tabs>
      <w:snapToGrid w:val="0"/>
      <w:jc w:val="left"/>
    </w:pPr>
    <w:rPr>
      <w:sz w:val="18"/>
    </w:rPr>
  </w:style>
  <w:style w:type="paragraph" w:styleId="5">
    <w:name w:val="header"/>
    <w:basedOn w:val="1"/>
    <w:link w:val="12"/>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6">
    <w:name w:val="Normal (Web)"/>
    <w:basedOn w:val="1"/>
    <w:uiPriority w:val="0"/>
    <w:pPr>
      <w:spacing w:beforeAutospacing="1" w:afterAutospacing="1"/>
      <w:jc w:val="left"/>
    </w:pPr>
    <w:rPr>
      <w:rFonts w:ascii="Times New Roman" w:hAnsi="Times New Roman"/>
      <w:kern w:val="0"/>
      <w:sz w:val="24"/>
    </w:rPr>
  </w:style>
  <w:style w:type="character" w:styleId="9">
    <w:name w:val="Hyperlink"/>
    <w:uiPriority w:val="0"/>
    <w:rPr>
      <w:rFonts w:ascii="Times New Roman" w:hAnsi="Times New Roman" w:eastAsia="宋体" w:cs="Times New Roman"/>
      <w:color w:val="1A9DFF"/>
      <w:u w:val="none"/>
    </w:rPr>
  </w:style>
  <w:style w:type="character" w:customStyle="1" w:styleId="10">
    <w:name w:val="标题 2 Char"/>
    <w:link w:val="3"/>
    <w:qFormat/>
    <w:uiPriority w:val="0"/>
    <w:rPr>
      <w:rFonts w:ascii="Times New Roman" w:hAnsi="Times New Roman" w:eastAsia="黑体" w:cs="Times New Roman"/>
      <w:bCs/>
      <w:kern w:val="0"/>
      <w:sz w:val="32"/>
      <w:szCs w:val="36"/>
      <w:lang w:val="en-GB"/>
    </w:rPr>
  </w:style>
  <w:style w:type="character" w:customStyle="1" w:styleId="11">
    <w:name w:val="页脚 Char"/>
    <w:link w:val="4"/>
    <w:uiPriority w:val="0"/>
    <w:rPr>
      <w:rFonts w:ascii="Calibri" w:hAnsi="Calibri" w:eastAsia="宋体" w:cs="Times New Roman"/>
      <w:sz w:val="18"/>
    </w:rPr>
  </w:style>
  <w:style w:type="character" w:customStyle="1" w:styleId="12">
    <w:name w:val="页眉 Char"/>
    <w:link w:val="5"/>
    <w:uiPriority w:val="0"/>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1162</Words>
  <Characters>6629</Characters>
  <Lines>55</Lines>
  <Paragraphs>15</Paragraphs>
  <TotalTime>21</TotalTime>
  <ScaleCrop>false</ScaleCrop>
  <LinksUpToDate>false</LinksUpToDate>
  <CharactersWithSpaces>7776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2015-01-28T12:15:00Z</dcterms:created>
  <dc:creator>蒋兆年</dc:creator>
  <cp:lastModifiedBy>@Superman</cp:lastModifiedBy>
  <dcterms:modified xsi:type="dcterms:W3CDTF">2021-07-16T07:16:25Z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DE726D2C572342C9B6C5C78111A985E8</vt:lpwstr>
  </property>
</Properties>
</file>