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附件2</w:t>
      </w:r>
    </w:p>
    <w:p>
      <w:pPr>
        <w:spacing w:line="360" w:lineRule="exact"/>
        <w:jc w:val="center"/>
        <w:rPr>
          <w:rFonts w:hint="eastAsia" w:ascii="仿宋_GB2312" w:hAnsi="Arial" w:eastAsia="仿宋_GB2312" w:cs="Arial"/>
          <w:color w:val="666666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666666"/>
          <w:kern w:val="0"/>
          <w:sz w:val="32"/>
          <w:szCs w:val="32"/>
        </w:rPr>
        <w:t>各区市人社局考试机构信息表</w:t>
      </w:r>
    </w:p>
    <w:p>
      <w:pPr>
        <w:spacing w:line="360" w:lineRule="exact"/>
        <w:ind w:firstLine="640" w:firstLineChars="200"/>
        <w:rPr>
          <w:rFonts w:hint="eastAsia" w:ascii="仿宋_GB2312" w:hAnsi="Arial" w:eastAsia="仿宋_GB2312" w:cs="Arial"/>
          <w:color w:val="666666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629"/>
        <w:gridCol w:w="5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  <w:t>序号</w:t>
            </w: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市南区人力资源和社会保障局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市南区延安三路105号1楼5号窗口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市北区人力资源和社会保障局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 xml:space="preserve">市北区南宁路5号205房间    </w:t>
            </w:r>
          </w:p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诚信人力资源开发服务中心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青岛西海岸新区人力资源和社会保障局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青岛西海岸新区漓江西路987号滨海大厦裙楼二楼（请关注网站相关通知:</w:t>
            </w:r>
          </w:p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“青岛西海岸新区政务网→信息公开→区人社局→业务分类信息→人事考试”）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李沧区人力资源和社会保障局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李沧区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eastAsia="zh-CN"/>
              </w:rPr>
              <w:t>北崂路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val="en-US" w:eastAsia="zh-CN"/>
              </w:rPr>
              <w:t>1022号中艺1688创意产业园A区3号楼2楼206室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城阳区人力资源和社会保障局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城阳区正阳路222号人才交流服务中心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val="en-US" w:eastAsia="zh-CN"/>
              </w:rPr>
              <w:t>306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eastAsia="zh-CN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 xml:space="preserve">   6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崂山区人力资源和社会保障局（青岛市崂山区人才服务中心）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崂山区银川东路9号（人力资源大厦）502房间</w:t>
            </w:r>
          </w:p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请登陆崂山人才网http：//www.qdgxrc.com首页左上角“专业技术考评通知”模块，查看通知。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即墨区人力资源和社会保障局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即墨区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eastAsia="zh-CN"/>
              </w:rPr>
              <w:t>振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武路496号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新市民大厅连体楼南楼811室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胶州市人力资源和社会保障局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胶州市北京路2号，市西行政服务大厅裙楼5楼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9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平度市人力资源和社会保障局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平度市北京路79号1号楼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eastAsia="zh-CN"/>
              </w:rPr>
              <w:t>楼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val="en-US" w:eastAsia="zh-CN"/>
              </w:rPr>
              <w:t>11房间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莱西市人力资源和社会保障局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莱西市北京中路105号0440房间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保税港区组织人事局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黄岛区江山南路611号1501房间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eastAsia="zh-CN"/>
              </w:rPr>
              <w:t>高新区国际人才服务中心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eastAsia="zh-CN"/>
              </w:rPr>
              <w:t>高新区广盛路与汇智桥路交叉口国家大学科技园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lang w:val="en-US" w:eastAsia="zh-CN"/>
              </w:rPr>
              <w:t>C5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C1"/>
    <w:rsid w:val="000758E5"/>
    <w:rsid w:val="001874C1"/>
    <w:rsid w:val="00974DD9"/>
    <w:rsid w:val="14AD4476"/>
    <w:rsid w:val="1DD53CA3"/>
    <w:rsid w:val="21607954"/>
    <w:rsid w:val="24A35F73"/>
    <w:rsid w:val="60521E82"/>
    <w:rsid w:val="66E3117C"/>
    <w:rsid w:val="6F5424FB"/>
    <w:rsid w:val="730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uiPriority w:val="0"/>
    <w:pPr>
      <w:spacing w:after="120"/>
      <w:ind w:left="420" w:leftChars="200"/>
    </w:pPr>
  </w:style>
  <w:style w:type="character" w:customStyle="1" w:styleId="5">
    <w:name w:val="正文文本缩进 Char"/>
    <w:basedOn w:val="4"/>
    <w:link w:val="2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2019-02-12T02:42:00Z</dcterms:created>
  <dc:creator>hp</dc:creator>
  <cp:lastModifiedBy>俊烨的天空</cp:lastModifiedBy>
  <dcterms:modified xsi:type="dcterms:W3CDTF">2020-01-20T02:05:18Z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