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附件1</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报考条件及有关事项</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2017年度勘察设计注册工程师资格考试报考条件、各专业的专业考试指定的规范、标准、规程、技术（设计）手册目录请考生登录住房和城乡建设部执业资格注册中心官网（www.pqrc.org.cn）考试动态栏目查询，相关土建类专业评估信息可登录高校土建类专业评估信息系统（edu.mohurd.gov.cn）查询。其他考试报考条件及有关事项如下：</w:t>
      </w:r>
    </w:p>
    <w:tbl>
      <w:tblPr>
        <w:tblW w:w="10275" w:type="dxa"/>
        <w:jc w:val="center"/>
        <w:tblCellSpacing w:w="0" w:type="dxa"/>
        <w:tblInd w:w="-96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8"/>
        <w:gridCol w:w="662"/>
        <w:gridCol w:w="299"/>
        <w:gridCol w:w="1213"/>
        <w:gridCol w:w="763"/>
        <w:gridCol w:w="718"/>
        <w:gridCol w:w="1154"/>
        <w:gridCol w:w="420"/>
        <w:gridCol w:w="690"/>
        <w:gridCol w:w="375"/>
        <w:gridCol w:w="31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675" w:hRule="atLeast"/>
          <w:tblCellSpacing w:w="0" w:type="dxa"/>
          <w:jc w:val="center"/>
        </w:trPr>
        <w:tc>
          <w:tcPr>
            <w:tcW w:w="83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考试</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类别</w:t>
            </w:r>
          </w:p>
        </w:tc>
        <w:tc>
          <w:tcPr>
            <w:tcW w:w="2174"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所学专业或职称</w:t>
            </w: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学位或学历</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职业实践最少时间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执</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业</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师</w:t>
            </w:r>
          </w:p>
        </w:tc>
        <w:tc>
          <w:tcPr>
            <w:tcW w:w="2174" w:type="dxa"/>
            <w:gridSpan w:val="3"/>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药学、中药学</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或相关专业</w:t>
            </w: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中专</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从事药学或中药学专业工作满7年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continue"/>
            <w:shd w:val="clear"/>
            <w:vAlign w:val="center"/>
          </w:tcPr>
          <w:p>
            <w:pPr>
              <w:jc w:val="left"/>
              <w:rPr>
                <w:rFonts w:hint="eastAsia" w:ascii="宋体" w:hAnsi="宋体" w:eastAsia="宋体" w:cs="宋体"/>
                <w:color w:val="333333"/>
                <w:sz w:val="18"/>
                <w:szCs w:val="18"/>
              </w:rPr>
            </w:pP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大专</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从事药学或中药学专业工作满5年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continue"/>
            <w:shd w:val="clear"/>
            <w:vAlign w:val="center"/>
          </w:tcPr>
          <w:p>
            <w:pPr>
              <w:jc w:val="left"/>
              <w:rPr>
                <w:rFonts w:hint="eastAsia" w:ascii="宋体" w:hAnsi="宋体" w:eastAsia="宋体" w:cs="宋体"/>
                <w:color w:val="333333"/>
                <w:sz w:val="18"/>
                <w:szCs w:val="18"/>
              </w:rPr>
            </w:pP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本科</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从事药学或中药学专业工作满3年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continue"/>
            <w:shd w:val="clear"/>
            <w:vAlign w:val="center"/>
          </w:tcPr>
          <w:p>
            <w:pPr>
              <w:jc w:val="left"/>
              <w:rPr>
                <w:rFonts w:hint="eastAsia" w:ascii="宋体" w:hAnsi="宋体" w:eastAsia="宋体" w:cs="宋体"/>
                <w:color w:val="333333"/>
                <w:sz w:val="18"/>
                <w:szCs w:val="18"/>
              </w:rPr>
            </w:pP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双学士、研究生班、硕士学位</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从事药学或中药学专业工作满1年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continue"/>
            <w:shd w:val="clear"/>
            <w:vAlign w:val="center"/>
          </w:tcPr>
          <w:p>
            <w:pPr>
              <w:jc w:val="left"/>
              <w:rPr>
                <w:rFonts w:hint="eastAsia" w:ascii="宋体" w:hAnsi="宋体" w:eastAsia="宋体" w:cs="宋体"/>
                <w:color w:val="333333"/>
                <w:sz w:val="18"/>
                <w:szCs w:val="18"/>
              </w:rPr>
            </w:pP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博士学位</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11"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437" w:type="dxa"/>
            <w:gridSpan w:val="10"/>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按国家有关规定已评聘为高级专业技术职务，并具备下列条件之一人员，可免试《药学（中药学）专业知识（一）》、《药学（中药学）专业知识（二）》2个科目，只参加《药事管理与法规》、《药学（中药学）综合知识与技能》2个科目的考试：</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 中药学徒、药学或中药学中专毕业，连续从事药学或中药学专业工作满20年。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 取得药学、中药学专业或相关专业大专以上学历，连续从事药学或中药学专业工作满15年。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二、考试成绩实行2年为一个周期的滚动管理办法。参加4个科目（级别为考全科）考试的须在连续2个考试年度内通过应试科目；参加2个科目（级别为免2科）考试的须在当年通过应试科目，方可取得资格证书。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三、药学、中药学专业是指教育部印发的《普通高等学校本科专业目录（2012）》（教高〔2012〕9号）中所设置的有关学科门类专业。国家执业药师资格考试报考专业参考目录见附件8。</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四、执业药师报考级别为免试二科的预合格考生实行考后现场资格审核，报考级别为考全科的预合格考生实行考后网上资格审核。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造</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价</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工</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程</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师</w:t>
            </w:r>
          </w:p>
        </w:tc>
        <w:tc>
          <w:tcPr>
            <w:tcW w:w="2174" w:type="dxa"/>
            <w:gridSpan w:val="3"/>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工程造价</w:t>
            </w: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本科</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从事工程造价业务工作满4年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continue"/>
            <w:shd w:val="clear"/>
            <w:vAlign w:val="center"/>
          </w:tcPr>
          <w:p>
            <w:pPr>
              <w:jc w:val="left"/>
              <w:rPr>
                <w:rFonts w:hint="eastAsia" w:ascii="宋体" w:hAnsi="宋体" w:eastAsia="宋体" w:cs="宋体"/>
                <w:color w:val="333333"/>
                <w:sz w:val="18"/>
                <w:szCs w:val="18"/>
              </w:rPr>
            </w:pP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大专</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从事工程造价业务工作满5年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工程或工程经济类</w:t>
            </w: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本科</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从事工程造价业务工作满5年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continue"/>
            <w:shd w:val="clear"/>
            <w:vAlign w:val="center"/>
          </w:tcPr>
          <w:p>
            <w:pPr>
              <w:jc w:val="left"/>
              <w:rPr>
                <w:rFonts w:hint="eastAsia" w:ascii="宋体" w:hAnsi="宋体" w:eastAsia="宋体" w:cs="宋体"/>
                <w:color w:val="333333"/>
                <w:sz w:val="18"/>
                <w:szCs w:val="18"/>
              </w:rPr>
            </w:pP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大专</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从事工程造价业务工作满6年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上述专业</w:t>
            </w: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双学士、研究生班、硕士学位</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从事工程造价业务工作满3年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174" w:type="dxa"/>
            <w:gridSpan w:val="3"/>
            <w:vMerge w:val="continue"/>
            <w:shd w:val="clear"/>
            <w:vAlign w:val="center"/>
          </w:tcPr>
          <w:p>
            <w:pPr>
              <w:jc w:val="left"/>
              <w:rPr>
                <w:rFonts w:hint="eastAsia" w:ascii="宋体" w:hAnsi="宋体" w:eastAsia="宋体" w:cs="宋体"/>
                <w:color w:val="333333"/>
                <w:sz w:val="18"/>
                <w:szCs w:val="18"/>
              </w:rPr>
            </w:pPr>
          </w:p>
        </w:tc>
        <w:tc>
          <w:tcPr>
            <w:tcW w:w="3055" w:type="dxa"/>
            <w:gridSpan w:val="4"/>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博士学位</w:t>
            </w:r>
          </w:p>
        </w:tc>
        <w:tc>
          <w:tcPr>
            <w:tcW w:w="4208" w:type="dxa"/>
            <w:gridSpan w:val="3"/>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从事工程造价业务工作满2年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1"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437" w:type="dxa"/>
            <w:gridSpan w:val="10"/>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1996年8月26日前，已受聘担任高级专业技术职务，并具备下列条件之一人员，可免试《建设工程造价管理》、《建设工程技术与计量》2个科目，只参加《建设工程计价》、《建设工程造价案例分析》2个科目的考试：</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1.1970年（含1970年，下同）以前工程或工程经济类本科毕业，从事工程造价业务满15年。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2.1970年以前工程或工程经济类大专毕业，从事工程造价业务满20年。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3.1970年以前工程或工程经济类中专毕业，从事工程造价业务满25年。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二、考试成绩实行2年为一个周期的滚动管理办法。参加4个科目考试的须在连续2个考试年度内通过应试科目；参加2个科目（级别为免二科）考试的须在当年通过应试科目，方可取得资格证书。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三、工程造价、工程或工程经济专业是指教育部印发的《普通高等学校本科专业目录（2012）》（教高〔2012〕9号）中所设置的有关学科门类专业。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出</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版</w:t>
            </w:r>
          </w:p>
        </w:tc>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中级</w:t>
            </w:r>
          </w:p>
        </w:tc>
        <w:tc>
          <w:tcPr>
            <w:tcW w:w="1512" w:type="dxa"/>
            <w:gridSpan w:val="2"/>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不限</w:t>
            </w:r>
          </w:p>
        </w:tc>
        <w:tc>
          <w:tcPr>
            <w:tcW w:w="2635"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大专</w:t>
            </w:r>
          </w:p>
        </w:tc>
        <w:tc>
          <w:tcPr>
            <w:tcW w:w="4628"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从事出版专业工作满5年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512" w:type="dxa"/>
            <w:gridSpan w:val="2"/>
            <w:vMerge w:val="continue"/>
            <w:shd w:val="clear"/>
            <w:vAlign w:val="center"/>
          </w:tcPr>
          <w:p>
            <w:pPr>
              <w:jc w:val="left"/>
              <w:rPr>
                <w:rFonts w:hint="eastAsia" w:ascii="宋体" w:hAnsi="宋体" w:eastAsia="宋体" w:cs="宋体"/>
                <w:color w:val="333333"/>
                <w:sz w:val="18"/>
                <w:szCs w:val="18"/>
              </w:rPr>
            </w:pPr>
          </w:p>
        </w:tc>
        <w:tc>
          <w:tcPr>
            <w:tcW w:w="2635"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本科</w:t>
            </w:r>
          </w:p>
        </w:tc>
        <w:tc>
          <w:tcPr>
            <w:tcW w:w="4628"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从事出版专业工作满4年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512" w:type="dxa"/>
            <w:gridSpan w:val="2"/>
            <w:vMerge w:val="continue"/>
            <w:shd w:val="clear"/>
            <w:vAlign w:val="center"/>
          </w:tcPr>
          <w:p>
            <w:pPr>
              <w:jc w:val="left"/>
              <w:rPr>
                <w:rFonts w:hint="eastAsia" w:ascii="宋体" w:hAnsi="宋体" w:eastAsia="宋体" w:cs="宋体"/>
                <w:color w:val="333333"/>
                <w:sz w:val="18"/>
                <w:szCs w:val="18"/>
              </w:rPr>
            </w:pPr>
          </w:p>
        </w:tc>
        <w:tc>
          <w:tcPr>
            <w:tcW w:w="2635"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双学士或研究生班</w:t>
            </w:r>
          </w:p>
        </w:tc>
        <w:tc>
          <w:tcPr>
            <w:tcW w:w="4628"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从事出版专业工作满2年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512" w:type="dxa"/>
            <w:gridSpan w:val="2"/>
            <w:vMerge w:val="continue"/>
            <w:shd w:val="clear"/>
            <w:vAlign w:val="center"/>
          </w:tcPr>
          <w:p>
            <w:pPr>
              <w:jc w:val="left"/>
              <w:rPr>
                <w:rFonts w:hint="eastAsia" w:ascii="宋体" w:hAnsi="宋体" w:eastAsia="宋体" w:cs="宋体"/>
                <w:color w:val="333333"/>
                <w:sz w:val="18"/>
                <w:szCs w:val="18"/>
              </w:rPr>
            </w:pPr>
          </w:p>
        </w:tc>
        <w:tc>
          <w:tcPr>
            <w:tcW w:w="2635"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硕士学位</w:t>
            </w:r>
          </w:p>
        </w:tc>
        <w:tc>
          <w:tcPr>
            <w:tcW w:w="4628"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从事出版专业工作满1年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1512" w:type="dxa"/>
            <w:gridSpan w:val="2"/>
            <w:vMerge w:val="continue"/>
            <w:shd w:val="clear"/>
            <w:vAlign w:val="center"/>
          </w:tcPr>
          <w:p>
            <w:pPr>
              <w:jc w:val="left"/>
              <w:rPr>
                <w:rFonts w:hint="eastAsia" w:ascii="宋体" w:hAnsi="宋体" w:eastAsia="宋体" w:cs="宋体"/>
                <w:color w:val="333333"/>
                <w:sz w:val="18"/>
                <w:szCs w:val="18"/>
              </w:rPr>
            </w:pPr>
          </w:p>
        </w:tc>
        <w:tc>
          <w:tcPr>
            <w:tcW w:w="2635"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博士学位</w:t>
            </w:r>
          </w:p>
        </w:tc>
        <w:tc>
          <w:tcPr>
            <w:tcW w:w="4628"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1"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8775" w:type="dxa"/>
            <w:gridSpan w:val="9"/>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具备下列条件之一也可报考：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1、2001年8月7日前，已受聘担任助理编辑、助理技术编辑、二级校对专业技术职务满4年可报考。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2、2001年8月7日前，已受聘担任非出版专业中级专业技术职务，从事出版技术岗位工作满1年可报考。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662"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初级</w:t>
            </w:r>
          </w:p>
        </w:tc>
        <w:tc>
          <w:tcPr>
            <w:tcW w:w="1512"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c>
          <w:tcPr>
            <w:tcW w:w="2635"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大专及以上</w:t>
            </w:r>
          </w:p>
        </w:tc>
        <w:tc>
          <w:tcPr>
            <w:tcW w:w="4628"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86"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662" w:type="dxa"/>
            <w:vMerge w:val="continue"/>
            <w:shd w:val="clear"/>
            <w:vAlign w:val="center"/>
          </w:tcPr>
          <w:p>
            <w:pPr>
              <w:jc w:val="left"/>
              <w:rPr>
                <w:rFonts w:hint="eastAsia" w:ascii="宋体" w:hAnsi="宋体" w:eastAsia="宋体" w:cs="宋体"/>
                <w:color w:val="333333"/>
                <w:sz w:val="18"/>
                <w:szCs w:val="18"/>
              </w:rPr>
            </w:pPr>
          </w:p>
        </w:tc>
        <w:tc>
          <w:tcPr>
            <w:tcW w:w="8775" w:type="dxa"/>
            <w:gridSpan w:val="9"/>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具备下列条件之一也可报考：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1、2001年8月7日前，已受聘担任技术设计员或三级校对专业技术职务的。</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按照人事部办公厅《关于部分专业技术人员资格考试安排和考试工作有关问题的通知》（国人厅发[2004]45号）精神，各大中专院校应届毕业生可以参加出版专业初级资格考试报名。对报名时尚未获得学历证书的应届毕业生，可持能够证明其在考试年度可毕业的有效证件（如学生证等）和学校出具的应届毕业证明参加考试报名（限2017届应届毕业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5"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437" w:type="dxa"/>
            <w:gridSpan w:val="10"/>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一、2001年8月7日前，按国家统一规定已受聘担任出版专业初级或中级专业技术职务人员，免试相应级别《出版专业基础知识》科目，只参加相应级别《出版专业理论与实务》1个科目的考试。</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二、考试成绩实行非滚动管理。报考人员须在当年通过应试科目，方可取得资格证书。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jc w:val="center"/>
        </w:trPr>
        <w:tc>
          <w:tcPr>
            <w:tcW w:w="83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注</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册</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安</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全</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工</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程</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师</w:t>
            </w:r>
          </w:p>
        </w:tc>
        <w:tc>
          <w:tcPr>
            <w:tcW w:w="2937" w:type="dxa"/>
            <w:gridSpan w:val="4"/>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 xml:space="preserve">安全工程、工程经济类专业 </w:t>
            </w:r>
          </w:p>
        </w:tc>
        <w:tc>
          <w:tcPr>
            <w:tcW w:w="2982"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中专</w:t>
            </w:r>
          </w:p>
        </w:tc>
        <w:tc>
          <w:tcPr>
            <w:tcW w:w="3518"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从事安全生产相关业务工作满7年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937" w:type="dxa"/>
            <w:gridSpan w:val="4"/>
            <w:vMerge w:val="continue"/>
            <w:shd w:val="clear"/>
            <w:vAlign w:val="center"/>
          </w:tcPr>
          <w:p>
            <w:pPr>
              <w:jc w:val="left"/>
              <w:rPr>
                <w:rFonts w:hint="eastAsia" w:ascii="宋体" w:hAnsi="宋体" w:eastAsia="宋体" w:cs="宋体"/>
                <w:color w:val="333333"/>
                <w:sz w:val="18"/>
                <w:szCs w:val="18"/>
              </w:rPr>
            </w:pPr>
          </w:p>
        </w:tc>
        <w:tc>
          <w:tcPr>
            <w:tcW w:w="2982"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大学专科</w:t>
            </w:r>
          </w:p>
        </w:tc>
        <w:tc>
          <w:tcPr>
            <w:tcW w:w="3518"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从事安全生产相关业务工作满5年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937" w:type="dxa"/>
            <w:gridSpan w:val="4"/>
            <w:vMerge w:val="continue"/>
            <w:shd w:val="clear"/>
            <w:vAlign w:val="center"/>
          </w:tcPr>
          <w:p>
            <w:pPr>
              <w:jc w:val="left"/>
              <w:rPr>
                <w:rFonts w:hint="eastAsia" w:ascii="宋体" w:hAnsi="宋体" w:eastAsia="宋体" w:cs="宋体"/>
                <w:color w:val="333333"/>
                <w:sz w:val="18"/>
                <w:szCs w:val="18"/>
              </w:rPr>
            </w:pPr>
          </w:p>
        </w:tc>
        <w:tc>
          <w:tcPr>
            <w:tcW w:w="2982"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大学本科</w:t>
            </w:r>
          </w:p>
        </w:tc>
        <w:tc>
          <w:tcPr>
            <w:tcW w:w="3518"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从事安全生产相关业务工作满3年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937" w:type="dxa"/>
            <w:gridSpan w:val="4"/>
            <w:vMerge w:val="continue"/>
            <w:shd w:val="clear"/>
            <w:vAlign w:val="center"/>
          </w:tcPr>
          <w:p>
            <w:pPr>
              <w:jc w:val="left"/>
              <w:rPr>
                <w:rFonts w:hint="eastAsia" w:ascii="宋体" w:hAnsi="宋体" w:eastAsia="宋体" w:cs="宋体"/>
                <w:color w:val="333333"/>
                <w:sz w:val="18"/>
                <w:szCs w:val="18"/>
              </w:rPr>
            </w:pPr>
          </w:p>
        </w:tc>
        <w:tc>
          <w:tcPr>
            <w:tcW w:w="2982"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第二学士学位或研究生班毕业</w:t>
            </w:r>
          </w:p>
        </w:tc>
        <w:tc>
          <w:tcPr>
            <w:tcW w:w="3518"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从事安全生产相关业务工作满2年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937" w:type="dxa"/>
            <w:gridSpan w:val="4"/>
            <w:vMerge w:val="continue"/>
            <w:shd w:val="clear"/>
            <w:vAlign w:val="center"/>
          </w:tcPr>
          <w:p>
            <w:pPr>
              <w:jc w:val="left"/>
              <w:rPr>
                <w:rFonts w:hint="eastAsia" w:ascii="宋体" w:hAnsi="宋体" w:eastAsia="宋体" w:cs="宋体"/>
                <w:color w:val="333333"/>
                <w:sz w:val="18"/>
                <w:szCs w:val="18"/>
              </w:rPr>
            </w:pPr>
          </w:p>
        </w:tc>
        <w:tc>
          <w:tcPr>
            <w:tcW w:w="2982"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硕士学位</w:t>
            </w:r>
          </w:p>
        </w:tc>
        <w:tc>
          <w:tcPr>
            <w:tcW w:w="3518"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从事安全生产相关业务工作满1年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2937" w:type="dxa"/>
            <w:gridSpan w:val="4"/>
            <w:vMerge w:val="continue"/>
            <w:shd w:val="clear"/>
            <w:vAlign w:val="center"/>
          </w:tcPr>
          <w:p>
            <w:pPr>
              <w:jc w:val="left"/>
              <w:rPr>
                <w:rFonts w:hint="eastAsia" w:ascii="宋体" w:hAnsi="宋体" w:eastAsia="宋体" w:cs="宋体"/>
                <w:color w:val="333333"/>
                <w:sz w:val="18"/>
                <w:szCs w:val="18"/>
              </w:rPr>
            </w:pPr>
          </w:p>
        </w:tc>
        <w:tc>
          <w:tcPr>
            <w:tcW w:w="2982"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博士学位</w:t>
            </w:r>
          </w:p>
        </w:tc>
        <w:tc>
          <w:tcPr>
            <w:tcW w:w="3518"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05"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437" w:type="dxa"/>
            <w:gridSpan w:val="10"/>
            <w:shd w:val="clear"/>
            <w:vAlign w:val="center"/>
          </w:tcPr>
          <w:p>
            <w:pPr>
              <w:pStyle w:val="2"/>
              <w:keepNext w:val="0"/>
              <w:keepLines w:val="0"/>
              <w:widowControl/>
              <w:suppressLineNumbers w:val="0"/>
              <w:spacing w:before="300" w:beforeAutospacing="0" w:line="390" w:lineRule="atLeast"/>
              <w:ind w:left="210" w:firstLine="420"/>
              <w:jc w:val="left"/>
              <w:rPr>
                <w:color w:val="000000"/>
                <w:sz w:val="21"/>
                <w:szCs w:val="21"/>
              </w:rPr>
            </w:pPr>
            <w:r>
              <w:rPr>
                <w:rFonts w:hint="eastAsia" w:ascii="宋体" w:hAnsi="宋体" w:eastAsia="宋体" w:cs="宋体"/>
                <w:color w:val="000000"/>
                <w:sz w:val="21"/>
                <w:szCs w:val="21"/>
              </w:rPr>
              <w:t>一、对中专以上学历层次专业、从事安全生产相关业务的审核，参照安全工程、工程经济类专业参考目录（见附件9）、有关从事安全生产业务的规定和解释（见附件10）执行。</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二、取得其他专业学历，本科以下学历其相对应的从事安全生产相关工作年限延长2年，第二学士学位及以上学历其相对应的从事安全生产相关工作年限延长1年。</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三、凡符合报考条件，2002年9月3日前，已评聘高级专业技术职务，并从事安全生产相关业务工作满10年的专业人员，可免试《安全生产管理知识》和《安全生产技术》2个科目，只参加《安全生产及相关法律知识》和《安全生产事故案例分析》2个科目的考试。</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四、考试成绩实行2年为一个周期的滚动管理办法。参加4个科目考试的须在连续2个考试年度内通过应试科目；参加2个科目（级别为免二科）考试的须在当年通过应试科目，方可取得资格证书。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五、安全生产相关业务工作，指劳动安全工程、劳动卫生工程、特种设备安全工程、安全检测检验技术、安全系统工程5类工程技术工作。</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六、安全工程、工程经济类专业是指教育部印发的《普通高等学校本科专业目录（2012）》（教高〔2012〕9号）中所设置的有关学科门类专业。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经</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济</w:t>
            </w:r>
          </w:p>
        </w:tc>
        <w:tc>
          <w:tcPr>
            <w:tcW w:w="961" w:type="dxa"/>
            <w:gridSpan w:val="2"/>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中级</w:t>
            </w:r>
          </w:p>
        </w:tc>
        <w:tc>
          <w:tcPr>
            <w:tcW w:w="2694"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取得经济专业初级资格</w:t>
            </w:r>
          </w:p>
        </w:tc>
        <w:tc>
          <w:tcPr>
            <w:tcW w:w="2639"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中专</w:t>
            </w:r>
          </w:p>
        </w:tc>
        <w:tc>
          <w:tcPr>
            <w:tcW w:w="314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从事经济工作满10年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61" w:type="dxa"/>
            <w:gridSpan w:val="2"/>
            <w:vMerge w:val="continue"/>
            <w:shd w:val="clear"/>
            <w:vAlign w:val="center"/>
          </w:tcPr>
          <w:p>
            <w:pPr>
              <w:jc w:val="left"/>
              <w:rPr>
                <w:rFonts w:hint="eastAsia" w:ascii="宋体" w:hAnsi="宋体" w:eastAsia="宋体" w:cs="宋体"/>
                <w:color w:val="333333"/>
                <w:sz w:val="18"/>
                <w:szCs w:val="18"/>
              </w:rPr>
            </w:pPr>
          </w:p>
        </w:tc>
        <w:tc>
          <w:tcPr>
            <w:tcW w:w="2694" w:type="dxa"/>
            <w:gridSpan w:val="3"/>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c>
          <w:tcPr>
            <w:tcW w:w="2639"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大学专科</w:t>
            </w:r>
          </w:p>
        </w:tc>
        <w:tc>
          <w:tcPr>
            <w:tcW w:w="314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从事经济工作满6年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61" w:type="dxa"/>
            <w:gridSpan w:val="2"/>
            <w:vMerge w:val="continue"/>
            <w:shd w:val="clear"/>
            <w:vAlign w:val="center"/>
          </w:tcPr>
          <w:p>
            <w:pPr>
              <w:jc w:val="left"/>
              <w:rPr>
                <w:rFonts w:hint="eastAsia" w:ascii="宋体" w:hAnsi="宋体" w:eastAsia="宋体" w:cs="宋体"/>
                <w:color w:val="333333"/>
                <w:sz w:val="18"/>
                <w:szCs w:val="18"/>
              </w:rPr>
            </w:pPr>
          </w:p>
        </w:tc>
        <w:tc>
          <w:tcPr>
            <w:tcW w:w="2694" w:type="dxa"/>
            <w:gridSpan w:val="3"/>
            <w:vMerge w:val="continue"/>
            <w:shd w:val="clear"/>
            <w:vAlign w:val="center"/>
          </w:tcPr>
          <w:p>
            <w:pPr>
              <w:jc w:val="left"/>
              <w:rPr>
                <w:rFonts w:hint="eastAsia" w:ascii="宋体" w:hAnsi="宋体" w:eastAsia="宋体" w:cs="宋体"/>
                <w:color w:val="333333"/>
                <w:sz w:val="18"/>
                <w:szCs w:val="18"/>
              </w:rPr>
            </w:pPr>
          </w:p>
        </w:tc>
        <w:tc>
          <w:tcPr>
            <w:tcW w:w="2639"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大学本科</w:t>
            </w:r>
          </w:p>
        </w:tc>
        <w:tc>
          <w:tcPr>
            <w:tcW w:w="314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从事经济工作满4年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61" w:type="dxa"/>
            <w:gridSpan w:val="2"/>
            <w:vMerge w:val="continue"/>
            <w:shd w:val="clear"/>
            <w:vAlign w:val="center"/>
          </w:tcPr>
          <w:p>
            <w:pPr>
              <w:jc w:val="left"/>
              <w:rPr>
                <w:rFonts w:hint="eastAsia" w:ascii="宋体" w:hAnsi="宋体" w:eastAsia="宋体" w:cs="宋体"/>
                <w:color w:val="333333"/>
                <w:sz w:val="18"/>
                <w:szCs w:val="18"/>
              </w:rPr>
            </w:pPr>
          </w:p>
        </w:tc>
        <w:tc>
          <w:tcPr>
            <w:tcW w:w="2694" w:type="dxa"/>
            <w:gridSpan w:val="3"/>
            <w:vMerge w:val="continue"/>
            <w:shd w:val="clear"/>
            <w:vAlign w:val="center"/>
          </w:tcPr>
          <w:p>
            <w:pPr>
              <w:jc w:val="left"/>
              <w:rPr>
                <w:rFonts w:hint="eastAsia" w:ascii="宋体" w:hAnsi="宋体" w:eastAsia="宋体" w:cs="宋体"/>
                <w:color w:val="333333"/>
                <w:sz w:val="18"/>
                <w:szCs w:val="18"/>
              </w:rPr>
            </w:pPr>
          </w:p>
        </w:tc>
        <w:tc>
          <w:tcPr>
            <w:tcW w:w="2639"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双学士或研究生班</w:t>
            </w:r>
          </w:p>
        </w:tc>
        <w:tc>
          <w:tcPr>
            <w:tcW w:w="314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从事经济工作满2年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61" w:type="dxa"/>
            <w:gridSpan w:val="2"/>
            <w:vMerge w:val="continue"/>
            <w:shd w:val="clear"/>
            <w:vAlign w:val="center"/>
          </w:tcPr>
          <w:p>
            <w:pPr>
              <w:jc w:val="left"/>
              <w:rPr>
                <w:rFonts w:hint="eastAsia" w:ascii="宋体" w:hAnsi="宋体" w:eastAsia="宋体" w:cs="宋体"/>
                <w:color w:val="333333"/>
                <w:sz w:val="18"/>
                <w:szCs w:val="18"/>
              </w:rPr>
            </w:pPr>
          </w:p>
        </w:tc>
        <w:tc>
          <w:tcPr>
            <w:tcW w:w="2694" w:type="dxa"/>
            <w:gridSpan w:val="3"/>
            <w:vMerge w:val="continue"/>
            <w:shd w:val="clear"/>
            <w:vAlign w:val="center"/>
          </w:tcPr>
          <w:p>
            <w:pPr>
              <w:jc w:val="left"/>
              <w:rPr>
                <w:rFonts w:hint="eastAsia" w:ascii="宋体" w:hAnsi="宋体" w:eastAsia="宋体" w:cs="宋体"/>
                <w:color w:val="333333"/>
                <w:sz w:val="18"/>
                <w:szCs w:val="18"/>
              </w:rPr>
            </w:pPr>
          </w:p>
        </w:tc>
        <w:tc>
          <w:tcPr>
            <w:tcW w:w="2639"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硕士学位</w:t>
            </w:r>
          </w:p>
        </w:tc>
        <w:tc>
          <w:tcPr>
            <w:tcW w:w="314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从事经济工作满1年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61" w:type="dxa"/>
            <w:gridSpan w:val="2"/>
            <w:vMerge w:val="continue"/>
            <w:shd w:val="clear"/>
            <w:vAlign w:val="center"/>
          </w:tcPr>
          <w:p>
            <w:pPr>
              <w:jc w:val="left"/>
              <w:rPr>
                <w:rFonts w:hint="eastAsia" w:ascii="宋体" w:hAnsi="宋体" w:eastAsia="宋体" w:cs="宋体"/>
                <w:color w:val="333333"/>
                <w:sz w:val="18"/>
                <w:szCs w:val="18"/>
              </w:rPr>
            </w:pPr>
          </w:p>
        </w:tc>
        <w:tc>
          <w:tcPr>
            <w:tcW w:w="2694" w:type="dxa"/>
            <w:gridSpan w:val="3"/>
            <w:vMerge w:val="continue"/>
            <w:shd w:val="clear"/>
            <w:vAlign w:val="center"/>
          </w:tcPr>
          <w:p>
            <w:pPr>
              <w:jc w:val="left"/>
              <w:rPr>
                <w:rFonts w:hint="eastAsia" w:ascii="宋体" w:hAnsi="宋体" w:eastAsia="宋体" w:cs="宋体"/>
                <w:color w:val="333333"/>
                <w:sz w:val="18"/>
                <w:szCs w:val="18"/>
              </w:rPr>
            </w:pPr>
          </w:p>
        </w:tc>
        <w:tc>
          <w:tcPr>
            <w:tcW w:w="2639"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博士学位</w:t>
            </w:r>
          </w:p>
        </w:tc>
        <w:tc>
          <w:tcPr>
            <w:tcW w:w="314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61" w:type="dxa"/>
            <w:gridSpan w:val="2"/>
            <w:shd w:val="clear"/>
            <w:vAlign w:val="center"/>
          </w:tcPr>
          <w:p>
            <w:pPr>
              <w:pStyle w:val="2"/>
              <w:keepNext w:val="0"/>
              <w:keepLines w:val="0"/>
              <w:widowControl/>
              <w:suppressLineNumbers w:val="0"/>
              <w:spacing w:before="300" w:beforeAutospacing="0" w:line="390" w:lineRule="atLeast"/>
              <w:ind w:left="210" w:firstLine="420"/>
              <w:jc w:val="left"/>
              <w:rPr>
                <w:color w:val="000000"/>
                <w:sz w:val="21"/>
                <w:szCs w:val="21"/>
              </w:rPr>
            </w:pPr>
            <w:r>
              <w:rPr>
                <w:rFonts w:hint="eastAsia" w:ascii="宋体" w:hAnsi="宋体" w:eastAsia="宋体" w:cs="宋体"/>
                <w:color w:val="000000"/>
                <w:sz w:val="21"/>
                <w:szCs w:val="21"/>
              </w:rPr>
              <w:t>初级</w:t>
            </w:r>
          </w:p>
        </w:tc>
        <w:tc>
          <w:tcPr>
            <w:tcW w:w="2694" w:type="dxa"/>
            <w:gridSpan w:val="3"/>
            <w:shd w:val="clear"/>
            <w:vAlign w:val="center"/>
          </w:tcPr>
          <w:p>
            <w:pPr>
              <w:pStyle w:val="2"/>
              <w:keepNext w:val="0"/>
              <w:keepLines w:val="0"/>
              <w:widowControl/>
              <w:suppressLineNumbers w:val="0"/>
              <w:spacing w:before="300" w:beforeAutospacing="0" w:line="390" w:lineRule="atLeast"/>
              <w:ind w:left="210" w:firstLine="420"/>
              <w:jc w:val="left"/>
              <w:rPr>
                <w:color w:val="000000"/>
                <w:sz w:val="21"/>
                <w:szCs w:val="21"/>
              </w:rPr>
            </w:pPr>
            <w:r>
              <w:rPr>
                <w:rFonts w:hint="eastAsia" w:ascii="宋体" w:hAnsi="宋体" w:eastAsia="宋体" w:cs="宋体"/>
                <w:color w:val="000000"/>
                <w:sz w:val="21"/>
                <w:szCs w:val="21"/>
              </w:rPr>
              <w:t>不限</w:t>
            </w:r>
          </w:p>
        </w:tc>
        <w:tc>
          <w:tcPr>
            <w:tcW w:w="2639" w:type="dxa"/>
            <w:gridSpan w:val="4"/>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高中以上</w:t>
            </w:r>
          </w:p>
        </w:tc>
        <w:tc>
          <w:tcPr>
            <w:tcW w:w="3143"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从事专业工作满1年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86" w:hRule="atLeast"/>
          <w:tblCellSpacing w:w="0" w:type="dxa"/>
          <w:jc w:val="center"/>
        </w:trPr>
        <w:tc>
          <w:tcPr>
            <w:tcW w:w="838" w:type="dxa"/>
            <w:vMerge w:val="continue"/>
            <w:shd w:val="clear"/>
            <w:vAlign w:val="center"/>
          </w:tcPr>
          <w:p>
            <w:pPr>
              <w:jc w:val="left"/>
              <w:rPr>
                <w:rFonts w:hint="eastAsia" w:ascii="宋体" w:hAnsi="宋体" w:eastAsia="宋体" w:cs="宋体"/>
                <w:color w:val="333333"/>
                <w:sz w:val="18"/>
                <w:szCs w:val="18"/>
              </w:rPr>
            </w:pPr>
          </w:p>
        </w:tc>
        <w:tc>
          <w:tcPr>
            <w:tcW w:w="9437" w:type="dxa"/>
            <w:gridSpan w:val="10"/>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一、考试成绩实行非滚动管理。报考人员须在当年通过应试科目，方可取得资格证书。</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二、各大中专院校应届毕业生可以参加经济专业初级资格考试报名。对报名时尚未获得学历证书的应届毕业生，可持能够证明其在考试年度可毕业的有效证件（如学生证等）和学校出具的应届毕业证明参加考试报名（限2017届应届毕业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8" w:type="dxa"/>
            <w:shd w:val="clear"/>
            <w:vAlign w:val="center"/>
          </w:tcPr>
          <w:p>
            <w:pPr>
              <w:jc w:val="left"/>
              <w:rPr>
                <w:rFonts w:hint="eastAsia" w:ascii="宋体" w:hAnsi="宋体" w:eastAsia="宋体" w:cs="宋体"/>
                <w:color w:val="333333"/>
                <w:sz w:val="18"/>
                <w:szCs w:val="18"/>
              </w:rPr>
            </w:pPr>
          </w:p>
        </w:tc>
        <w:tc>
          <w:tcPr>
            <w:tcW w:w="662" w:type="dxa"/>
            <w:shd w:val="clear"/>
            <w:vAlign w:val="center"/>
          </w:tcPr>
          <w:p>
            <w:pPr>
              <w:jc w:val="left"/>
              <w:rPr>
                <w:rFonts w:hint="eastAsia" w:ascii="宋体" w:hAnsi="宋体" w:eastAsia="宋体" w:cs="宋体"/>
                <w:color w:val="333333"/>
                <w:sz w:val="18"/>
                <w:szCs w:val="18"/>
              </w:rPr>
            </w:pPr>
          </w:p>
        </w:tc>
        <w:tc>
          <w:tcPr>
            <w:tcW w:w="299" w:type="dxa"/>
            <w:shd w:val="clear"/>
            <w:vAlign w:val="center"/>
          </w:tcPr>
          <w:p>
            <w:pPr>
              <w:jc w:val="left"/>
              <w:rPr>
                <w:rFonts w:hint="eastAsia" w:ascii="宋体" w:hAnsi="宋体" w:eastAsia="宋体" w:cs="宋体"/>
                <w:color w:val="333333"/>
                <w:sz w:val="18"/>
                <w:szCs w:val="18"/>
              </w:rPr>
            </w:pPr>
          </w:p>
        </w:tc>
        <w:tc>
          <w:tcPr>
            <w:tcW w:w="1213" w:type="dxa"/>
            <w:shd w:val="clear"/>
            <w:vAlign w:val="center"/>
          </w:tcPr>
          <w:p>
            <w:pPr>
              <w:jc w:val="left"/>
              <w:rPr>
                <w:rFonts w:hint="eastAsia" w:ascii="宋体" w:hAnsi="宋体" w:eastAsia="宋体" w:cs="宋体"/>
                <w:color w:val="333333"/>
                <w:sz w:val="18"/>
                <w:szCs w:val="18"/>
              </w:rPr>
            </w:pPr>
          </w:p>
        </w:tc>
        <w:tc>
          <w:tcPr>
            <w:tcW w:w="763" w:type="dxa"/>
            <w:shd w:val="clear"/>
            <w:vAlign w:val="center"/>
          </w:tcPr>
          <w:p>
            <w:pPr>
              <w:jc w:val="left"/>
              <w:rPr>
                <w:rFonts w:hint="eastAsia" w:ascii="宋体" w:hAnsi="宋体" w:eastAsia="宋体" w:cs="宋体"/>
                <w:color w:val="333333"/>
                <w:sz w:val="18"/>
                <w:szCs w:val="18"/>
              </w:rPr>
            </w:pPr>
          </w:p>
        </w:tc>
        <w:tc>
          <w:tcPr>
            <w:tcW w:w="718" w:type="dxa"/>
            <w:shd w:val="clear"/>
            <w:vAlign w:val="center"/>
          </w:tcPr>
          <w:p>
            <w:pPr>
              <w:jc w:val="left"/>
              <w:rPr>
                <w:rFonts w:hint="eastAsia" w:ascii="宋体" w:hAnsi="宋体" w:eastAsia="宋体" w:cs="宋体"/>
                <w:color w:val="333333"/>
                <w:sz w:val="18"/>
                <w:szCs w:val="18"/>
              </w:rPr>
            </w:pPr>
          </w:p>
        </w:tc>
        <w:tc>
          <w:tcPr>
            <w:tcW w:w="1154" w:type="dxa"/>
            <w:shd w:val="clear"/>
            <w:vAlign w:val="center"/>
          </w:tcPr>
          <w:p>
            <w:pPr>
              <w:jc w:val="left"/>
              <w:rPr>
                <w:rFonts w:hint="eastAsia" w:ascii="宋体" w:hAnsi="宋体" w:eastAsia="宋体" w:cs="宋体"/>
                <w:color w:val="333333"/>
                <w:sz w:val="18"/>
                <w:szCs w:val="18"/>
              </w:rPr>
            </w:pPr>
          </w:p>
        </w:tc>
        <w:tc>
          <w:tcPr>
            <w:tcW w:w="420" w:type="dxa"/>
            <w:shd w:val="clear"/>
            <w:vAlign w:val="center"/>
          </w:tcPr>
          <w:p>
            <w:pPr>
              <w:jc w:val="left"/>
              <w:rPr>
                <w:rFonts w:hint="eastAsia" w:ascii="宋体" w:hAnsi="宋体" w:eastAsia="宋体" w:cs="宋体"/>
                <w:color w:val="333333"/>
                <w:sz w:val="18"/>
                <w:szCs w:val="18"/>
              </w:rPr>
            </w:pPr>
          </w:p>
        </w:tc>
        <w:tc>
          <w:tcPr>
            <w:tcW w:w="690" w:type="dxa"/>
            <w:shd w:val="clear"/>
            <w:vAlign w:val="center"/>
          </w:tcPr>
          <w:p>
            <w:pPr>
              <w:jc w:val="left"/>
              <w:rPr>
                <w:rFonts w:hint="eastAsia" w:ascii="宋体" w:hAnsi="宋体" w:eastAsia="宋体" w:cs="宋体"/>
                <w:color w:val="333333"/>
                <w:sz w:val="18"/>
                <w:szCs w:val="18"/>
              </w:rPr>
            </w:pPr>
          </w:p>
        </w:tc>
        <w:tc>
          <w:tcPr>
            <w:tcW w:w="375" w:type="dxa"/>
            <w:shd w:val="clear"/>
            <w:vAlign w:val="center"/>
          </w:tcPr>
          <w:p>
            <w:pPr>
              <w:jc w:val="left"/>
              <w:rPr>
                <w:rFonts w:hint="eastAsia" w:ascii="宋体" w:hAnsi="宋体" w:eastAsia="宋体" w:cs="宋体"/>
                <w:color w:val="333333"/>
                <w:sz w:val="18"/>
                <w:szCs w:val="18"/>
              </w:rPr>
            </w:pPr>
          </w:p>
        </w:tc>
        <w:tc>
          <w:tcPr>
            <w:tcW w:w="3143" w:type="dxa"/>
            <w:shd w:val="clear"/>
            <w:vAlign w:val="center"/>
          </w:tcPr>
          <w:p>
            <w:pPr>
              <w:jc w:val="left"/>
              <w:rPr>
                <w:rFonts w:hint="eastAsia" w:ascii="宋体" w:hAnsi="宋体" w:eastAsia="宋体" w:cs="宋体"/>
                <w:color w:val="333333"/>
                <w:sz w:val="18"/>
                <w:szCs w:val="18"/>
              </w:rPr>
            </w:pP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附件2</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考试收费标准</w:t>
      </w:r>
    </w:p>
    <w:tbl>
      <w:tblPr>
        <w:tblW w:w="10095" w:type="dxa"/>
        <w:jc w:val="center"/>
        <w:tblCellSpacing w:w="0" w:type="dxa"/>
        <w:tblInd w:w="-87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60"/>
        <w:gridCol w:w="3870"/>
        <w:gridCol w:w="217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645"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考试项目</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收费标准</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收费依据</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21"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一级注册</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结构工程师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基础每人每科99元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专业每人每科107元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《国家发展改革委 财政部关于改革全国性职业资格考试收费标准管理办法的通知》（发改价格〔2015〕1217号）和《关于专业技术人员职业资格考试收费标准有关事项的通知》吉省价收函字〔2016〕248号</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承担考试报名任务的市州留用考务费4元/科。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45"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二级注册</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结构工程师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专业每人每科110元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66"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土木工程师</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（岩土）</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基础每人每科99元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专业客观题每人每科79元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专业主观题每人每科90元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91"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公用设备工程师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各类别基础每人每科99元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给水排水专业客观题每人每科80元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给水排水专业主观题每人每科84元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暖通空调专业客观题每人每科83元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暖通空调专业主观题每人每科87元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动力专业客观题每人每科85元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动力专业主观题每人每科90元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11"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电气工程师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各类别基础每人每科99元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各类别专业客观题每人每科83元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各类别专业主观题每人每科87元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30"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化工工程师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基础每人每科105元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专业客观题每人每科95元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专业主观题每人每科95元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30"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环保工程师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基础每人每科105元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专业客观题每人每科85元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专业主观题每人每科90元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0"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土木工程师</w:t>
            </w:r>
          </w:p>
          <w:p>
            <w:pPr>
              <w:pStyle w:val="2"/>
              <w:keepNext w:val="0"/>
              <w:keepLines w:val="0"/>
              <w:widowControl/>
              <w:suppressLineNumbers w:val="0"/>
              <w:spacing w:before="300" w:beforeAutospacing="0" w:line="390" w:lineRule="atLeast"/>
              <w:ind w:left="0" w:firstLine="420"/>
              <w:jc w:val="left"/>
              <w:rPr>
                <w:color w:val="000000"/>
                <w:sz w:val="21"/>
                <w:szCs w:val="21"/>
              </w:rPr>
            </w:pPr>
            <w:r>
              <w:rPr>
                <w:rStyle w:val="4"/>
                <w:rFonts w:hint="eastAsia" w:ascii="宋体" w:hAnsi="宋体" w:eastAsia="宋体" w:cs="宋体"/>
                <w:color w:val="000000"/>
                <w:sz w:val="21"/>
                <w:szCs w:val="21"/>
              </w:rPr>
              <w:t>（港口与航道工程）</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基础每人每科118元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专业客观题每人每科95元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专业主观题每人每科95元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土木工程师</w:t>
            </w:r>
          </w:p>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（水利水电工程）</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各类别基础每人每科108元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各类别专业客观题每人每科90元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各类别专业主观题每人每科95元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1"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执业药师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每人每科65元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《人力资源社会保障部办公厅关于下发执业药师资格考试等18项专业技术人员资格考试考务费收费标准的通知》（人社厅函〔2015〕278号）和吉省价收函字〔2016〕248号</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96"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造价工程师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客观题科目每人每科74元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主观题科目每人每科104元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注册安全工程师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客观题科目每人每科74元</w:t>
            </w:r>
          </w:p>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主观题科目每人每科78元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出版</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每人每科83元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21" w:hRule="atLeast"/>
          <w:tblCellSpacing w:w="0" w:type="dxa"/>
          <w:jc w:val="center"/>
        </w:trPr>
        <w:tc>
          <w:tcPr>
            <w:tcW w:w="21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Style w:val="4"/>
                <w:rFonts w:hint="eastAsia" w:ascii="宋体" w:hAnsi="宋体" w:eastAsia="宋体" w:cs="宋体"/>
                <w:color w:val="000000"/>
                <w:sz w:val="21"/>
                <w:szCs w:val="21"/>
              </w:rPr>
              <w:t>经济</w:t>
            </w:r>
          </w:p>
        </w:tc>
        <w:tc>
          <w:tcPr>
            <w:tcW w:w="38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每人每科71元</w:t>
            </w:r>
          </w:p>
        </w:tc>
        <w:tc>
          <w:tcPr>
            <w:tcW w:w="217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同上</w:t>
            </w:r>
          </w:p>
        </w:tc>
        <w:tc>
          <w:tcPr>
            <w:tcW w:w="189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承担考试报名任务的市州留用考务费4元/科，承担考试组织实施任务的市州留用考试组织费30元/科。</w:t>
            </w: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附件3</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Style w:val="4"/>
          <w:rFonts w:hint="eastAsia" w:ascii="宋体" w:hAnsi="宋体" w:eastAsia="宋体" w:cs="宋体"/>
          <w:color w:val="000000"/>
          <w:sz w:val="21"/>
          <w:szCs w:val="21"/>
        </w:rPr>
        <w:t>2017年度执业药师考试大纲调整情况</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2017年度执业药师资格考试继续使用2015年版《国家执业药师资格考试大纲》（第七版）。另外，根据考试大纲的有关规定，国家食品药品监督管理总局执业药师资格认证中心于2016年4月、2017年3月分别发布了《关于调整国家执业药师资格考试大纲部分内容的通告》（2016年第1号和2017年第1号），对2015年版考试大纲中药事管理与法规科目部分内容和要求进行了调整。请考生按照2015年版考试大纲要求，结合《关于调整国家执业药师资格考试大纲部分内容的通告》（2016年第1号和2017年第1号），进行应试准备。</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附件4</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2017年度出版专业技术人员职业资格考试考试大纲及考试用书征订与发行负责单位联系方式</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一、《全国出版专业资格考试考试大纲》（2017年版）、《出版专业基础》（中级，2015年版）、《出版专业实务》（中级，2015年版），商务印书馆出版。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联系地址：北京市灯市口大街100号华腾灯市口商务楼</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邮 编：100006</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 系 人：孙惠</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电 话：010-85175977</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二、《出版专业基础》（初级，2015年版）、《出版专业实务》（初级，2015年版），崇文书局出版。</w:t>
      </w:r>
    </w:p>
    <w:p>
      <w:pPr>
        <w:pStyle w:val="2"/>
        <w:keepNext w:val="0"/>
        <w:keepLines w:val="0"/>
        <w:widowControl/>
        <w:suppressLineNumbers w:val="0"/>
        <w:spacing w:before="526" w:beforeAutospacing="0" w:after="300" w:afterAutospacing="0" w:line="390" w:lineRule="atLeast"/>
        <w:ind w:left="2236" w:right="0" w:firstLine="420"/>
        <w:jc w:val="left"/>
        <w:rPr>
          <w:color w:val="000000"/>
          <w:sz w:val="21"/>
          <w:szCs w:val="21"/>
        </w:rPr>
      </w:pPr>
      <w:r>
        <w:rPr>
          <w:rFonts w:hint="eastAsia" w:ascii="宋体" w:hAnsi="宋体" w:eastAsia="宋体" w:cs="宋体"/>
          <w:color w:val="000000"/>
          <w:sz w:val="21"/>
          <w:szCs w:val="21"/>
        </w:rPr>
        <w:t>联系地址：湖北省武汉市雄楚大街268号湖北出版文化城C座11楼</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 系 人：张衍亮</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电 话：027-87679710/ 87679711 /87679712（传真）</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18507129696</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三、《数字出版基础》（初级、中级，2015年版），电子工业出版社出版。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联系地址：北京市海淀区万寿路南口金家村288号华信大厦</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邮 编：100036</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 系 人：宋紫鹤 杜长安</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联系电话：010-88254042/88254888</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四、《有关出版的法律法规选编》（2016年版），大象出版社出版。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联系地址：郑州市惠济区开元路16号</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邮 编：450044</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 系 人：张士彬</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电 话：0371-63863513、63863551</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五、《著作权案例评析》（2009年增订版，作为学习用书），上海辞书出版社出版。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联系地址：上海陕西北路457号</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邮 编：200040</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 系 人：陈怀远</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联系电话：021-62472088-343</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附件5</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Style w:val="4"/>
          <w:rFonts w:hint="eastAsia" w:ascii="宋体" w:hAnsi="宋体" w:eastAsia="宋体" w:cs="宋体"/>
          <w:color w:val="000000"/>
          <w:sz w:val="21"/>
          <w:szCs w:val="21"/>
        </w:rPr>
        <w:t>造价工程师执业资格考试大纲和教材相关说明</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考试大纲使用住房和城乡建设部组织编写、人力资源和社会保障部审定的2013年版《全国造价工程师执业资格考试大纲》。</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考试用书使用全国造价工程师执业资格考试培训教材编审委员会编写的全国造价工程师执业资格考试教材《建设工程造价管理》（2017版）、《建设工程技术与计量》（2017版）、《建设工程计价》（2017版）和《建设工程造价案例分析》（2017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附件6</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2017年度注册安全工程师执业资格考试有关法律法规修订、新增内容说明</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根据2011年以来安全生产相关法律法规制定、修订情况，为便于考生更好地应考，就《注册安全工程师执业资格考试大纲》（2011版）内容中涉及的有关法律法规作如下说明。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jc w:val="left"/>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新修订的安全生产相关法律法规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jc w:val="left"/>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1.《中华人民共和国安全生产法》（中华人民共和国主席令第70号公布，第18号、第13号修正）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 《中华人民共和国道路交通安全法》（中华人民共和国主席令第8号公布，第81号、第47号修正）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3. 《中华人民共和国职业病防治法》（中华人民共和国主席令第60号公布，第52号、第48号修正）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4．《中华人民共和国矿山安全法》（中华人民共和国主席令第65号公布，第18号修正）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5. 《中华人民共和国劳动合同法》（中华人民共和国主席令第65号公布，第73号修正）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6.《煤矿安全监察条例》（中华人民共和国国务院令第296号公布，第638号修正）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7.《国务院关于预防煤矿生产安全事故的特别规定》（中华人民共和国国务院令第446号公布，第638号修正）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8.《危险化学品安全管理条例》（中华人民共和国国务院令第344号公布，第591号、第645号修正）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9. 《安全生产许可证条例》（中华人民共和国国务院令第397号公布，第638号、第653号修正）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10. 《民用爆炸物品安全管理条例》（中华人民共和国国务院令第466号公布，第653号修正）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11. 《生产经营单位安全培训规定》（国家安全生产监督管理总局令第3号公布，第63号、第80号修正）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12. 《注册安全工程师管理规定》（国家安全生产监督管理总局令第11号公布，第63号修正）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13. 《生产安全事故罚款处罚规定（试行）》（国家安全生产监督管理总局令第13号公布，第42号、第77号修正）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14. 《非煤矿矿山企业安全生产许可证实施办法》（国家安全生产监督管理总局令第20号公布，第78号修正）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15. 《安全评价机构管理规定》（国家安全生产监督管理总局令第22号公布，第63号、第80号修正）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16. 《特种作业人员安全技术培训考核管理规定》（国家安全生产监督管理总局令第30号公布，第63号、第80号修正）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17. 《建设项目安全设施“三同时”监督管理办法》（国家安全生产监督管理总局令第36号公布，第77号修正）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18. 《建设工程消防监督管理规定》（中华人民共和国公安部令第106号发布，第119号修正）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jc w:val="left"/>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新颁布的安全生产法律法规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jc w:val="left"/>
      </w:pP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1.《中华人民共和国特种设备安全法》（中华人民共和国主席令第4号）</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 《最高人民法院、最高人民检察院关于办理危害生产安全刑事案件适用法律若干问题的解释》（法释〔2015〕22号）</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3. 《尾矿库安全监督管理规定》（国家安全生产监督管理总局令第38号公布，第78号修正）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4.《危险化学品重大危险源监督管理暂行规定》（国家安全生产监督管理总局令第40号公布，第79号修正）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5. 《危险化学品生产企业安全生产许可证实施办法》（国家安全生产监督管理总局令第41号公布，第79号、第89号修正）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6. 《危险化学品输送管道安全管理规定》（国家安全生产监督管理总局令第43号公布，第79号修正）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7．《安全生产培训管理办法》（国家安全生产监督管理总局令第44号公布，第63号、第80号修正）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8．《危险化学品建设项目安全监督管理办法》（国家安全生产监督管理总局令第45号公布，第79号修正）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9．《工作场所职业卫生监督管理规定》（国家安全生产监督管理总局令第47号公布）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10．《职业病危害项目申报办法》（国家安全生产监督管理总局令第48号公布）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11．《用人单位职业健康监护监督管理办法》（国家安全生产监督管理总局令第49号公布）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12. 《煤矿安全培训规定》（国家安全生产监督管理总局令第52号公布，第63号修正）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13. 《烟花爆竹生产企业安全生产许可证实施办法》（国家安全生产监督管理总局令第54号公布）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14. 《危险化学品安全使用许可证实施办法》（国家安全生产监督管理总局令第57号公布，第79号、第89号修正）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15. 《工贸企业有限空间作业安全管理与监督暂行规定》（国家安全生产监督管理总局令第59号公布，第80号修正）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16. 《非煤矿山外包工程安全管理暂行办法》（国家安全生产监督管理总局令第62号公布，第78号修正）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17. 《食品生产企业安全生产监督管理暂行规定》（国家安全生产监督管理总局令第66号公布，第80号修正）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18. 《煤矿企业安全生产许可证实施办法》（国家安全生产监督管理总局令第86号公布，第89号修正）</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19. 《生产安全事故应急预案管理办法》（国家安全生产监督管理总局令第88号公布）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20. 《建设项目职业病防护设施“三同时”监督管理办法》（国家安全生产监督管理总局令第90号公布）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附件7</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2017年度经济专业技术资格考试大纲及考试用书征订方式</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Style w:val="4"/>
          <w:rFonts w:hint="eastAsia" w:ascii="宋体" w:hAnsi="宋体" w:eastAsia="宋体" w:cs="宋体"/>
          <w:color w:val="000000"/>
          <w:sz w:val="21"/>
          <w:szCs w:val="21"/>
        </w:rPr>
        <w:t>一、</w:t>
      </w:r>
      <w:r>
        <w:rPr>
          <w:rFonts w:hint="eastAsia" w:ascii="宋体" w:hAnsi="宋体" w:eastAsia="宋体" w:cs="宋体"/>
          <w:color w:val="000000"/>
          <w:sz w:val="21"/>
          <w:szCs w:val="21"/>
        </w:rPr>
        <w:t>2017年度经济考试大纲将通过互联网公开发布，不出版纸质实体书。发布方式有两种：一是以电子书形式在中国人事考试图书网（http://rsks.class.com.cn）上发布，购买考试用书的应试人员可凭正版考试用书序列号免费浏览或下载；二是以网页形式在中国人事考试网（http://www. cpta.com.cn）上发布，供社会公众免费浏览。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二、中国人事考试图书网是人社部出版集团和人社部人事考试中心指定的唯一售书服务网站，也是2017年度经济考试用书网上售书唯一指定网站。</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三、网站售书电话：010—64962347。</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附件8</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国家执业药师资格考试报考专业参考目录（本科）</w:t>
      </w:r>
    </w:p>
    <w:tbl>
      <w:tblPr>
        <w:tblW w:w="9793" w:type="dxa"/>
        <w:jc w:val="center"/>
        <w:tblCellSpacing w:w="0" w:type="dxa"/>
        <w:tblInd w:w="-7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29"/>
        <w:gridCol w:w="3278"/>
        <w:gridCol w:w="1588"/>
        <w:gridCol w:w="33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2012年9月—现在</w:t>
            </w:r>
          </w:p>
        </w:tc>
        <w:tc>
          <w:tcPr>
            <w:tcW w:w="4986"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1998年7月—2012年9月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专业代码</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学科门类、专业类、专业名称</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专业代码</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学科门类、专业类、专业名称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07学科门类：理学</w:t>
            </w:r>
          </w:p>
        </w:tc>
        <w:tc>
          <w:tcPr>
            <w:tcW w:w="4986"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07学科门类：理学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070301</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070302</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应用化学（注：可授理学或工学学士学位）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070302</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070303T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化学生物学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070303W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070304T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分子科学与工程</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070304W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分子科学与工程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071</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071001</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070407W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生物化学与分子生物学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070411S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生物资源科学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070412S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070405W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生物科学与生物技术（部分）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071002</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生物技术（注：可授理学或工学学士学位）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070402</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070405W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生物科学与生物技术（部分）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071003</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生物信息学（注：可授理学或工学学士学位）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070403W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生物信息学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070404W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070408W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医学信息学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08学科门类：工学</w:t>
            </w:r>
          </w:p>
        </w:tc>
        <w:tc>
          <w:tcPr>
            <w:tcW w:w="4986"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08学科门类：工学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0813</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化工与制药类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化工与制药类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081301</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化学工程与工艺</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081101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081103W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化工与制药（部分）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081302</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制药工程</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081102</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制药工程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081103W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化工与制药（部分）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081305T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化学工程与工业生物工程</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081104S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化学工程与工业生物工程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0826</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生物医学工程类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0806</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电气信息类（部分）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082601</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生物医学工程（注：可授工学或理学学士学位）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080607</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生物医学工程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080626S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医疗器械工程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0830</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生物工程类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0818</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生物工程类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083001</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生物工程</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081801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081906W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生物系统工程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081410S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轻工生物技术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083002T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生物制药</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081107S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10学科门类：医学</w:t>
            </w:r>
          </w:p>
        </w:tc>
        <w:tc>
          <w:tcPr>
            <w:tcW w:w="4986"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10学科门类：医学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1001</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基础医学类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100101K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100101*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基础医学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临床医学类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临床医学与医学技术类（部分）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100201K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临床医学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100202TK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麻醉学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100302*</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麻醉学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100203TK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医学影像学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100303*</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医学影像学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100204TK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眼视光医学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100306W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眼视光学（部分）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100205TK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精神医学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100308W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精神医学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100206TK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放射医学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100305W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放射医学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口腔医学类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100301K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公共卫生与预防医学类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预防医学类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100401K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预防医学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预防医学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100402</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食品卫生与营养学（注：授予理学学士学位）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100204S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营养学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040332W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食品营养与检验教育（部分）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100403TK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妇幼保健医学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100203S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妇幼保健医学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100404TK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卫生监督</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100206S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卫生监督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100405TK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全球健康学（注：授予理学学士学位）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100205S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全球健康学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100501K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100502K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针灸推拿学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100502</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针灸推拿学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100503K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藏医学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100504</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藏医学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100504K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蒙医学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100503</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蒙医学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100505K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维医学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100506W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维医学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100506K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壮医学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100507S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壮医学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100507K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哈医学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100508S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哈医学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1006</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中西医结合类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100601K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中西医临床医学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100505W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中西医临床医学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100701</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100807W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100702</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药物制剂（注：授予理学学士学位）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100803</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100703TK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临床药学（注：授予理学学士学位）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100808S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临床药学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100704T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药事管理（注：授予理学学士学位）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100810S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药事管理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100705T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药物分析（注：授予理学学士学位）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100812S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100706T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药物化学（注：授予理学学士学位）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100813S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100707T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海洋药学（注：授予理学学士学位）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100809S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海洋药学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100801</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100802</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100802</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中药资源与开发（注：授予理学学士学位）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100806W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中药资源与开发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100803T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藏药学（注：授予理学学士学位）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100805W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藏药学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100804T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蒙药学（注：授予理学学士学位）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100811W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蒙药学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100805T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中药制药（注：可授理学或工学学士学位）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100814S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100806T</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中草药栽培与鉴定（注：授予理学学士学位）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100804W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中草药栽培与鉴定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1009</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法医学类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1006</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法医学类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100901K</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法医学</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100601*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法医学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医学技术类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临床医学与医学技术类（部分）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101001</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医学检验技术（注：授予理学学士学位）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100304*</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101002</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医学实验技术（注：授予理学学士学位）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100311W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医学实验学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100309W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100312S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医学美容技术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101003</w:t>
            </w:r>
          </w:p>
        </w:tc>
        <w:tc>
          <w:tcPr>
            <w:tcW w:w="327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医学影像技术（注：授予理学学士学位）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100303*</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医学影像学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jc w:val="left"/>
              <w:rPr>
                <w:rFonts w:hint="eastAsia" w:ascii="宋体" w:hAnsi="宋体" w:eastAsia="宋体" w:cs="宋体"/>
                <w:color w:val="333333"/>
                <w:sz w:val="18"/>
                <w:szCs w:val="18"/>
              </w:rPr>
            </w:pPr>
          </w:p>
        </w:tc>
        <w:tc>
          <w:tcPr>
            <w:tcW w:w="3278" w:type="dxa"/>
            <w:vMerge w:val="continue"/>
            <w:shd w:val="clear"/>
            <w:vAlign w:val="center"/>
          </w:tcPr>
          <w:p>
            <w:pPr>
              <w:jc w:val="left"/>
              <w:rPr>
                <w:rFonts w:hint="eastAsia" w:ascii="宋体" w:hAnsi="宋体" w:eastAsia="宋体" w:cs="宋体"/>
                <w:color w:val="333333"/>
                <w:sz w:val="18"/>
                <w:szCs w:val="18"/>
              </w:rPr>
            </w:pP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080629S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医学影像工程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101004</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眼视光学（注：授予理学学士学位）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100306W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眼视光学(部分）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101005</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康复治疗学（注：授予理学学士学位）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100307W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康复治疗学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101006</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口腔医学技术（注：授予理学学士学位）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100402W</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口腔修复工艺学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101007</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卫生检验与检疫（注：授予理学学士学位）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100202S</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卫生检验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1011</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护理学类</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护理学类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101101</w:t>
            </w:r>
          </w:p>
        </w:tc>
        <w:tc>
          <w:tcPr>
            <w:tcW w:w="327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护理学（注：授予理学学士学位）</w:t>
            </w:r>
          </w:p>
        </w:tc>
        <w:tc>
          <w:tcPr>
            <w:tcW w:w="158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100701</w:t>
            </w:r>
          </w:p>
        </w:tc>
        <w:tc>
          <w:tcPr>
            <w:tcW w:w="339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护理学</w:t>
            </w:r>
          </w:p>
        </w:tc>
      </w:tr>
    </w:tbl>
    <w:p>
      <w:pPr>
        <w:pStyle w:val="2"/>
        <w:keepNext w:val="0"/>
        <w:keepLines w:val="0"/>
        <w:widowControl/>
        <w:suppressLineNumbers w:val="0"/>
        <w:spacing w:before="526" w:beforeAutospacing="0" w:after="300" w:afterAutospacing="0" w:line="390" w:lineRule="atLeast"/>
        <w:ind w:left="960" w:right="0" w:firstLine="420"/>
        <w:jc w:val="left"/>
        <w:rPr>
          <w:color w:val="000000"/>
          <w:sz w:val="21"/>
          <w:szCs w:val="21"/>
        </w:rPr>
      </w:pPr>
      <w:r>
        <w:rPr>
          <w:rFonts w:hint="eastAsia" w:ascii="宋体" w:hAnsi="宋体" w:eastAsia="宋体" w:cs="宋体"/>
          <w:color w:val="000000"/>
          <w:sz w:val="21"/>
          <w:szCs w:val="21"/>
        </w:rPr>
        <w:t>注：a.目录源于教育部印发的《〈普通高等学校本科专业目录（2012年）〉〈普通高等学校本科专业设置管理规定〉等文件的通知》（教高〔2012〕9号）。</w:t>
      </w:r>
    </w:p>
    <w:p>
      <w:pPr>
        <w:pStyle w:val="2"/>
        <w:keepNext w:val="0"/>
        <w:keepLines w:val="0"/>
        <w:widowControl/>
        <w:suppressLineNumbers w:val="0"/>
        <w:spacing w:before="526" w:beforeAutospacing="0" w:after="300" w:afterAutospacing="0" w:line="390" w:lineRule="atLeast"/>
        <w:ind w:left="826" w:right="0" w:firstLine="420"/>
        <w:jc w:val="left"/>
        <w:rPr>
          <w:color w:val="000000"/>
          <w:sz w:val="21"/>
          <w:szCs w:val="21"/>
        </w:rPr>
      </w:pPr>
      <w:r>
        <w:rPr>
          <w:rFonts w:hint="eastAsia" w:ascii="宋体" w:hAnsi="宋体" w:eastAsia="宋体" w:cs="宋体"/>
          <w:color w:val="000000"/>
          <w:sz w:val="21"/>
          <w:szCs w:val="21"/>
        </w:rPr>
        <w:t>b.1998年之前的专业名称可以参照教育部发布的相关专业目录来执行。</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Style w:val="4"/>
          <w:rFonts w:hint="eastAsia" w:ascii="宋体" w:hAnsi="宋体" w:eastAsia="宋体" w:cs="宋体"/>
          <w:color w:val="000000"/>
          <w:sz w:val="21"/>
          <w:szCs w:val="21"/>
        </w:rPr>
        <w:t>国家执业药师资格考试报考专业参考目录（高职高专）</w:t>
      </w:r>
    </w:p>
    <w:tbl>
      <w:tblPr>
        <w:tblW w:w="8925" w:type="dxa"/>
        <w:jc w:val="center"/>
        <w:tblCellSpacing w:w="0" w:type="dxa"/>
        <w:tblInd w:w="-2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25"/>
        <w:gridCol w:w="51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分类代码</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专业大类、专业类、专业名称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生化与药品大类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生物技术类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530101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530102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生物实验技术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530103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生物化工工艺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530104</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微生物技术及应用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化工技术类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530201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530202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有机化工生产技术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530205</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精细化学品生产技术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530208</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工业分析与检验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制药技术类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530301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生化制药技术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530302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530303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530304</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530305</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药物制剂技术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530306</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药物分析技术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5304</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食品药品管理类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530401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食品药品监督管理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530402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药品质量检测技术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530403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530404</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保健品开发与管理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医药卫生大类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临床医学类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630104</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蒙医学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630105</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藏医学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630106</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维医学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630107</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中西医结合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630108</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针灸推拿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630109</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中医骨伤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护理类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630201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药学类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630301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630302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医学技术类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630401</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630402</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630403</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医学影像技术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630404</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眼视光技术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630405</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康复治疗技术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630406</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口腔医学技术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630407</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医学营养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630408</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医疗美容技术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630409</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呼吸治疗技术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630410</w:t>
            </w:r>
          </w:p>
        </w:tc>
        <w:tc>
          <w:tcPr>
            <w:tcW w:w="510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卫生检验与检疫技术</w:t>
            </w:r>
          </w:p>
        </w:tc>
      </w:tr>
    </w:tbl>
    <w:p>
      <w:pPr>
        <w:pStyle w:val="2"/>
        <w:keepNext w:val="0"/>
        <w:keepLines w:val="0"/>
        <w:widowControl/>
        <w:suppressLineNumbers w:val="0"/>
        <w:spacing w:before="526" w:beforeAutospacing="0" w:after="300" w:afterAutospacing="0" w:line="390" w:lineRule="atLeast"/>
        <w:ind w:left="870" w:right="0" w:firstLine="420"/>
        <w:jc w:val="left"/>
        <w:rPr>
          <w:color w:val="000000"/>
          <w:sz w:val="21"/>
          <w:szCs w:val="21"/>
        </w:rPr>
      </w:pPr>
      <w:r>
        <w:rPr>
          <w:rFonts w:hint="eastAsia" w:ascii="宋体" w:hAnsi="宋体" w:eastAsia="宋体" w:cs="宋体"/>
          <w:color w:val="000000"/>
          <w:sz w:val="21"/>
          <w:szCs w:val="21"/>
        </w:rPr>
        <w:t>注：a.目录源于教育部印发的《普通高等学校高职高专教育指导性专业目录（试行）》（教高〔2004〕3号）。</w:t>
      </w:r>
    </w:p>
    <w:p>
      <w:pPr>
        <w:pStyle w:val="2"/>
        <w:keepNext w:val="0"/>
        <w:keepLines w:val="0"/>
        <w:widowControl/>
        <w:suppressLineNumbers w:val="0"/>
        <w:spacing w:before="526" w:beforeAutospacing="0" w:after="300" w:afterAutospacing="0" w:line="390" w:lineRule="atLeast"/>
        <w:ind w:left="976" w:right="0" w:firstLine="420"/>
        <w:jc w:val="left"/>
        <w:rPr>
          <w:color w:val="000000"/>
          <w:sz w:val="21"/>
          <w:szCs w:val="21"/>
        </w:rPr>
      </w:pPr>
      <w:r>
        <w:rPr>
          <w:rFonts w:hint="eastAsia" w:ascii="宋体" w:hAnsi="宋体" w:eastAsia="宋体" w:cs="宋体"/>
          <w:color w:val="000000"/>
          <w:sz w:val="21"/>
          <w:szCs w:val="21"/>
        </w:rPr>
        <w:t>b.2004年之前的专科专业目录可以参照教育部当时发布的相关专业目录来执行。</w:t>
      </w:r>
    </w:p>
    <w:p>
      <w:pPr>
        <w:pStyle w:val="2"/>
        <w:keepNext w:val="0"/>
        <w:keepLines w:val="0"/>
        <w:widowControl/>
        <w:suppressLineNumbers w:val="0"/>
        <w:spacing w:before="526" w:beforeAutospacing="0" w:after="300" w:afterAutospacing="0" w:line="390" w:lineRule="atLeast"/>
        <w:ind w:left="976" w:right="0" w:firstLine="420"/>
        <w:jc w:val="left"/>
        <w:rPr>
          <w:color w:val="000000"/>
          <w:sz w:val="21"/>
          <w:szCs w:val="21"/>
        </w:rPr>
      </w:pPr>
      <w:r>
        <w:rPr>
          <w:rStyle w:val="4"/>
          <w:rFonts w:hint="eastAsia" w:ascii="宋体" w:hAnsi="宋体" w:eastAsia="宋体" w:cs="宋体"/>
          <w:color w:val="000000"/>
          <w:sz w:val="21"/>
          <w:szCs w:val="21"/>
        </w:rPr>
        <w:t>国家执业药师资格考试报考专业参考目录（中职中专）</w:t>
      </w:r>
    </w:p>
    <w:tbl>
      <w:tblPr>
        <w:tblW w:w="8303" w:type="dxa"/>
        <w:jc w:val="center"/>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25"/>
        <w:gridCol w:w="1470"/>
        <w:gridCol w:w="1921"/>
        <w:gridCol w:w="1518"/>
        <w:gridCol w:w="23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286" w:hRule="atLeast"/>
          <w:tblCellSpacing w:w="0" w:type="dxa"/>
          <w:jc w:val="center"/>
        </w:trPr>
        <w:tc>
          <w:tcPr>
            <w:tcW w:w="4416" w:type="dxa"/>
            <w:gridSpan w:val="3"/>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2010年—现在的专业代码及专业名称</w:t>
            </w:r>
          </w:p>
        </w:tc>
        <w:tc>
          <w:tcPr>
            <w:tcW w:w="3887" w:type="dxa"/>
            <w:gridSpan w:val="2"/>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2010年之前的专业编码及专业名称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专业类</w:t>
            </w: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专业代码</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专业名称</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原专业编码</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原专业名称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10医药卫生类</w:t>
            </w: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100100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护理</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0801</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100300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农村医学</w:t>
            </w:r>
          </w:p>
        </w:tc>
        <w:tc>
          <w:tcPr>
            <w:tcW w:w="1518" w:type="dxa"/>
            <w:shd w:val="clear"/>
            <w:vAlign w:val="center"/>
          </w:tcPr>
          <w:p>
            <w:pPr>
              <w:jc w:val="left"/>
              <w:rPr>
                <w:rFonts w:hint="eastAsia" w:ascii="宋体" w:hAnsi="宋体" w:eastAsia="宋体" w:cs="宋体"/>
                <w:color w:val="333333"/>
                <w:sz w:val="18"/>
                <w:szCs w:val="18"/>
              </w:rPr>
            </w:pP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101100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药剂</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0813</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101200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中医护理</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0816</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101300</w:t>
            </w:r>
          </w:p>
        </w:tc>
        <w:tc>
          <w:tcPr>
            <w:tcW w:w="1921"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0814</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vMerge w:val="continue"/>
            <w:shd w:val="clear"/>
            <w:vAlign w:val="center"/>
          </w:tcPr>
          <w:p>
            <w:pPr>
              <w:jc w:val="left"/>
              <w:rPr>
                <w:rFonts w:hint="eastAsia" w:ascii="宋体" w:hAnsi="宋体" w:eastAsia="宋体" w:cs="宋体"/>
                <w:color w:val="333333"/>
                <w:sz w:val="18"/>
                <w:szCs w:val="18"/>
              </w:rPr>
            </w:pPr>
          </w:p>
        </w:tc>
        <w:tc>
          <w:tcPr>
            <w:tcW w:w="1921" w:type="dxa"/>
            <w:vMerge w:val="continue"/>
            <w:shd w:val="clear"/>
            <w:vAlign w:val="center"/>
          </w:tcPr>
          <w:p>
            <w:pPr>
              <w:jc w:val="left"/>
              <w:rPr>
                <w:rFonts w:hint="eastAsia" w:ascii="宋体" w:hAnsi="宋体" w:eastAsia="宋体" w:cs="宋体"/>
                <w:color w:val="333333"/>
                <w:sz w:val="18"/>
                <w:szCs w:val="18"/>
              </w:rPr>
            </w:pP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0815</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中医骨伤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101400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藏医医疗与藏药</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0820</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藏医医疗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101500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维医医疗与维药</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0821</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维医医疗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101600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蒙医医疗与蒙药</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0822</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蒙医医疗及蒙药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101700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中医康复保健</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0819</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中医康复保健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101800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0817</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101900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中药制药</w:t>
            </w:r>
          </w:p>
        </w:tc>
        <w:tc>
          <w:tcPr>
            <w:tcW w:w="151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0818</w:t>
            </w: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102000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制药技术</w:t>
            </w:r>
          </w:p>
        </w:tc>
        <w:tc>
          <w:tcPr>
            <w:tcW w:w="1518" w:type="dxa"/>
            <w:shd w:val="clear"/>
            <w:vAlign w:val="center"/>
          </w:tcPr>
          <w:p>
            <w:pPr>
              <w:jc w:val="left"/>
              <w:rPr>
                <w:rFonts w:hint="eastAsia" w:ascii="宋体" w:hAnsi="宋体" w:eastAsia="宋体" w:cs="宋体"/>
                <w:color w:val="333333"/>
                <w:sz w:val="18"/>
                <w:szCs w:val="18"/>
              </w:rPr>
            </w:pP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102100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生物技术制药</w:t>
            </w:r>
          </w:p>
        </w:tc>
        <w:tc>
          <w:tcPr>
            <w:tcW w:w="1518" w:type="dxa"/>
            <w:shd w:val="clear"/>
            <w:vAlign w:val="center"/>
          </w:tcPr>
          <w:p>
            <w:pPr>
              <w:jc w:val="left"/>
              <w:rPr>
                <w:rFonts w:hint="eastAsia" w:ascii="宋体" w:hAnsi="宋体" w:eastAsia="宋体" w:cs="宋体"/>
                <w:color w:val="333333"/>
                <w:sz w:val="18"/>
                <w:szCs w:val="18"/>
              </w:rPr>
            </w:pP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025" w:type="dxa"/>
            <w:vMerge w:val="continue"/>
            <w:shd w:val="clear"/>
            <w:vAlign w:val="center"/>
          </w:tcPr>
          <w:p>
            <w:pPr>
              <w:jc w:val="left"/>
              <w:rPr>
                <w:rFonts w:hint="eastAsia" w:ascii="宋体" w:hAnsi="宋体" w:eastAsia="宋体" w:cs="宋体"/>
                <w:color w:val="333333"/>
                <w:sz w:val="18"/>
                <w:szCs w:val="18"/>
              </w:rPr>
            </w:pPr>
          </w:p>
        </w:tc>
        <w:tc>
          <w:tcPr>
            <w:tcW w:w="147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102200</w:t>
            </w:r>
          </w:p>
        </w:tc>
        <w:tc>
          <w:tcPr>
            <w:tcW w:w="192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药品食品检验</w:t>
            </w:r>
          </w:p>
        </w:tc>
        <w:tc>
          <w:tcPr>
            <w:tcW w:w="1518" w:type="dxa"/>
            <w:shd w:val="clear"/>
            <w:vAlign w:val="center"/>
          </w:tcPr>
          <w:p>
            <w:pPr>
              <w:jc w:val="left"/>
              <w:rPr>
                <w:rFonts w:hint="eastAsia" w:ascii="宋体" w:hAnsi="宋体" w:eastAsia="宋体" w:cs="宋体"/>
                <w:color w:val="333333"/>
                <w:sz w:val="18"/>
                <w:szCs w:val="18"/>
              </w:rPr>
            </w:pPr>
          </w:p>
        </w:tc>
        <w:tc>
          <w:tcPr>
            <w:tcW w:w="2369"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新增专业</w:t>
            </w: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注：a.目录源于教育部印发的《中等职业学校专业目录（2010年修订）》（教职成〔2010〕4号）。</w:t>
      </w:r>
    </w:p>
    <w:p>
      <w:pPr>
        <w:pStyle w:val="2"/>
        <w:keepNext w:val="0"/>
        <w:keepLines w:val="0"/>
        <w:widowControl/>
        <w:suppressLineNumbers w:val="0"/>
        <w:spacing w:before="526" w:beforeAutospacing="0" w:after="300" w:afterAutospacing="0" w:line="390" w:lineRule="atLeast"/>
        <w:ind w:left="826" w:right="0" w:firstLine="420"/>
        <w:jc w:val="left"/>
        <w:rPr>
          <w:color w:val="000000"/>
          <w:sz w:val="21"/>
          <w:szCs w:val="21"/>
        </w:rPr>
      </w:pPr>
      <w:r>
        <w:rPr>
          <w:rFonts w:hint="eastAsia" w:ascii="宋体" w:hAnsi="宋体" w:eastAsia="宋体" w:cs="宋体"/>
          <w:color w:val="000000"/>
          <w:sz w:val="21"/>
          <w:szCs w:val="21"/>
        </w:rPr>
        <w:t>b.2010年之前的中专专业目录可以参照教育部及各省市当时发布的相关专业目录来执行。</w:t>
      </w:r>
    </w:p>
    <w:p>
      <w:pPr>
        <w:pStyle w:val="2"/>
        <w:keepNext w:val="0"/>
        <w:keepLines w:val="0"/>
        <w:widowControl/>
        <w:suppressLineNumbers w:val="0"/>
        <w:spacing w:before="526" w:beforeAutospacing="0" w:after="300" w:afterAutospacing="0" w:line="390" w:lineRule="atLeast"/>
        <w:ind w:left="826" w:right="0" w:firstLine="420"/>
        <w:jc w:val="left"/>
        <w:rPr>
          <w:color w:val="000000"/>
          <w:sz w:val="21"/>
          <w:szCs w:val="21"/>
        </w:rPr>
      </w:pPr>
      <w:r>
        <w:rPr>
          <w:rFonts w:hint="eastAsia" w:ascii="宋体" w:hAnsi="宋体" w:eastAsia="宋体" w:cs="宋体"/>
          <w:color w:val="000000"/>
          <w:sz w:val="21"/>
          <w:szCs w:val="21"/>
        </w:rPr>
        <w:t>附件9</w:t>
      </w:r>
    </w:p>
    <w:p>
      <w:pPr>
        <w:pStyle w:val="2"/>
        <w:keepNext w:val="0"/>
        <w:keepLines w:val="0"/>
        <w:widowControl/>
        <w:suppressLineNumbers w:val="0"/>
        <w:spacing w:before="526" w:beforeAutospacing="0" w:after="300" w:afterAutospacing="0" w:line="390" w:lineRule="atLeast"/>
        <w:ind w:left="1710" w:right="0" w:firstLine="420"/>
        <w:jc w:val="left"/>
        <w:rPr>
          <w:color w:val="000000"/>
          <w:sz w:val="21"/>
          <w:szCs w:val="21"/>
        </w:rPr>
      </w:pPr>
      <w:r>
        <w:rPr>
          <w:rFonts w:hint="eastAsia" w:ascii="宋体" w:hAnsi="宋体" w:eastAsia="宋体" w:cs="宋体"/>
          <w:color w:val="000000"/>
          <w:sz w:val="21"/>
          <w:szCs w:val="21"/>
        </w:rPr>
        <w:t>安全工程、工程经济类专业参考目录</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一、研究生学科</w:t>
      </w:r>
    </w:p>
    <w:tbl>
      <w:tblPr>
        <w:tblW w:w="8305" w:type="dxa"/>
        <w:jc w:val="center"/>
        <w:tblCellSpacing w:w="0" w:type="dxa"/>
        <w:tblInd w:w="1" w:type="dxa"/>
        <w:shd w:val="clear"/>
        <w:tblLayout w:type="fixed"/>
        <w:tblCellMar>
          <w:top w:w="0" w:type="dxa"/>
          <w:left w:w="0" w:type="dxa"/>
          <w:bottom w:w="0" w:type="dxa"/>
          <w:right w:w="0" w:type="dxa"/>
        </w:tblCellMar>
      </w:tblPr>
      <w:tblGrid>
        <w:gridCol w:w="1024"/>
        <w:gridCol w:w="2095"/>
        <w:gridCol w:w="1960"/>
        <w:gridCol w:w="3226"/>
      </w:tblGrid>
      <w:tr>
        <w:tblPrEx>
          <w:shd w:val="clear"/>
          <w:tblLayout w:type="fixed"/>
          <w:tblCellMar>
            <w:top w:w="0" w:type="dxa"/>
            <w:left w:w="0" w:type="dxa"/>
            <w:bottom w:w="0" w:type="dxa"/>
            <w:right w:w="0" w:type="dxa"/>
          </w:tblCellMar>
        </w:tblPrEx>
        <w:trPr>
          <w:tblCellSpacing w:w="0" w:type="dxa"/>
          <w:jc w:val="center"/>
        </w:trPr>
        <w:tc>
          <w:tcPr>
            <w:tcW w:w="1024"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门类代码及名称</w:t>
            </w:r>
          </w:p>
        </w:tc>
        <w:tc>
          <w:tcPr>
            <w:tcW w:w="209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2011年3月起学科名称</w:t>
            </w:r>
          </w:p>
        </w:tc>
        <w:tc>
          <w:tcPr>
            <w:tcW w:w="5186" w:type="dxa"/>
            <w:gridSpan w:val="2"/>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97年－2011年2月学科名称</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一级学科代码及名称</w:t>
            </w:r>
          </w:p>
        </w:tc>
        <w:tc>
          <w:tcPr>
            <w:tcW w:w="1960"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一级学科代码及名称</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二级学科名称</w:t>
            </w:r>
          </w:p>
        </w:tc>
      </w:tr>
      <w:tr>
        <w:tblPrEx>
          <w:tblLayout w:type="fixed"/>
          <w:tblCellMar>
            <w:top w:w="0" w:type="dxa"/>
            <w:left w:w="0" w:type="dxa"/>
            <w:bottom w:w="0" w:type="dxa"/>
            <w:right w:w="0" w:type="dxa"/>
          </w:tblCellMar>
        </w:tblPrEx>
        <w:trPr>
          <w:tblCellSpacing w:w="0" w:type="dxa"/>
          <w:jc w:val="center"/>
        </w:trPr>
        <w:tc>
          <w:tcPr>
            <w:tcW w:w="1024"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工学</w:t>
            </w: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力学</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力学</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一般力学与力学基础</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固体力学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流体力学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工程力学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机械制造及其自动化</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机械电子工程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机械设计及理论</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车辆工程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0803 光学工程</w:t>
            </w:r>
          </w:p>
        </w:tc>
        <w:tc>
          <w:tcPr>
            <w:tcW w:w="196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0803 光学工程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光学工程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仪器科学与技术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仪器科学与技术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精密仪器及机械</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测试计量技术及仪器</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材料科学与工程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材料科学与工程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材料物理与化学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材料学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材料加工工程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冶金工程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冶金工程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冶金物理化学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钢铁冶金</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有色金属冶金</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动力工程及工程热物理</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动力工程及工程热物理</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工程热物理</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热能工程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动力机械及工程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流体机械及工程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制冷及低温工程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化工过程机械</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电气工程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电气工程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电机与电器</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电力系统及其自动化</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高电压与绝缘技术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电力电子与电力传动</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电工理论与新技术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电子科学与技术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电子科学与技术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物理电子学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电路与系统</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微电子学与固体电子学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电磁场与微波技术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信息与通信工程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信息与通信工程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通信与信息系统</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信号与信息处理</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控制科学与工程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控制科学与工程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控制理论与控制工程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检测技术与自动化装置</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系统工程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模式识别与智能系统</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导航、制导与控制</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计算机科学与技术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计算机科学与技术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计算机系统结构</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计算机软件与理论</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计算机应用技术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建筑历史与理论</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建筑设计及其理论</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城市规划与设计(含∶风景园林规划与设计)</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建筑技术科学</w:t>
            </w:r>
          </w:p>
        </w:tc>
      </w:tr>
      <w:tr>
        <w:tblPrEx>
          <w:tblLayout w:type="fixed"/>
          <w:tblCellMar>
            <w:top w:w="0" w:type="dxa"/>
            <w:left w:w="0" w:type="dxa"/>
            <w:bottom w:w="0" w:type="dxa"/>
            <w:right w:w="0" w:type="dxa"/>
          </w:tblCellMar>
        </w:tblPrEx>
        <w:trPr>
          <w:tblCellSpacing w:w="0" w:type="dxa"/>
          <w:jc w:val="center"/>
        </w:trPr>
        <w:tc>
          <w:tcPr>
            <w:tcW w:w="1024"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工学</w:t>
            </w: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土木工程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土木工程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岩土工程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结构工程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市政工程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供热、供燃气、通风及空调工程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防灾减灾工程及防护工程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桥梁与隧道工程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水文学及水资源</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水力学及河流动力学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水工结构工程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水利水电工程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港口、海岸及近海工程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测绘科学与技术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测绘科学与技术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大地测量学与测量工程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摄影测量与遥感</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地图制图学与地理信息工程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化学工艺</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生物化工</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应用化学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工业催化</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地质资源与地质工程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地质资源与地质工程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矿产普查与勘探</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地球探测与信息技术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地质工程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矿业工程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矿业工程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采矿工程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矿物加工工程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安全技术及工程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石油与天然气工程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石油与天然气工程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油气井工程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油气田开发工程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油气储运工程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纺织科学与工程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纺织科学与工程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纺织工程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纺织材料与纺织品设计</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纺织化学与染整工程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服装设计与工程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轻工技术与工程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轻工技术与工程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制浆造纸工程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制糖工程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发酵工程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皮革化学与工程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交通运输工程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交通运输工程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道路与铁道工程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交通信息工程及控制</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交通运输规划与管理</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载运工具运用工程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船舶与海洋工程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船舶与海洋工程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船舶与海洋结构物设计制造</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轮机工程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水声工程</w:t>
            </w:r>
          </w:p>
        </w:tc>
      </w:tr>
      <w:tr>
        <w:tblPrEx>
          <w:tblLayout w:type="fixed"/>
          <w:tblCellMar>
            <w:top w:w="0" w:type="dxa"/>
            <w:left w:w="0" w:type="dxa"/>
            <w:bottom w:w="0" w:type="dxa"/>
            <w:right w:w="0" w:type="dxa"/>
          </w:tblCellMar>
        </w:tblPrEx>
        <w:trPr>
          <w:tblCellSpacing w:w="0" w:type="dxa"/>
          <w:jc w:val="center"/>
        </w:trPr>
        <w:tc>
          <w:tcPr>
            <w:tcW w:w="1024"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工学</w:t>
            </w: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航空宇航科学与技术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航空宇航科学与技术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飞行器设计</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航空宇航推进理论与工程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航空宇航制造工程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人机与环境工程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兵器科学与技术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兵器科学与技术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武器系统与运用工程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兵器发射理论与技术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火炮、自动武器与弹药工程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军事化学与烟火技术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核科学与技术</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核科学与技术</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核能科学与工程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核燃料循环与材料</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核技术及应用</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辐射防护及环境保护</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农业机械化工程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农业水土工程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农业生物环境与能源工程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农业电气化与自动化</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林业工程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林业工程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森林工程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木材科学与技术</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林产化学加工工程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环境科学与工程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环境科学与工程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环境科学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0831 生物医学工程</w:t>
            </w:r>
          </w:p>
        </w:tc>
        <w:tc>
          <w:tcPr>
            <w:tcW w:w="196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0831 生物医学工程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生物医学工程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食品科学与工程</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食品科学与工程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食品科学</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粮食、油脂及植物蛋白工程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农产品加工及贮藏工程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水产品加工及贮藏工程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0833 城乡规划学</w:t>
            </w:r>
          </w:p>
        </w:tc>
        <w:tc>
          <w:tcPr>
            <w:tcW w:w="1960" w:type="dxa"/>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0834 风景园林学</w:t>
            </w:r>
          </w:p>
        </w:tc>
        <w:tc>
          <w:tcPr>
            <w:tcW w:w="1960" w:type="dxa"/>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0835 软件工程</w:t>
            </w:r>
          </w:p>
        </w:tc>
        <w:tc>
          <w:tcPr>
            <w:tcW w:w="1960" w:type="dxa"/>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0836 生物工程</w:t>
            </w:r>
          </w:p>
        </w:tc>
        <w:tc>
          <w:tcPr>
            <w:tcW w:w="1960" w:type="dxa"/>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0837 安全科学与工程</w:t>
            </w:r>
          </w:p>
        </w:tc>
        <w:tc>
          <w:tcPr>
            <w:tcW w:w="1960" w:type="dxa"/>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0838 公安技术</w:t>
            </w:r>
          </w:p>
        </w:tc>
        <w:tc>
          <w:tcPr>
            <w:tcW w:w="1960" w:type="dxa"/>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blCellSpacing w:w="0" w:type="dxa"/>
          <w:jc w:val="center"/>
        </w:trPr>
        <w:tc>
          <w:tcPr>
            <w:tcW w:w="1024"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管理学</w:t>
            </w:r>
          </w:p>
        </w:tc>
        <w:tc>
          <w:tcPr>
            <w:tcW w:w="2095"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1201 管理科学与工程</w:t>
            </w:r>
          </w:p>
        </w:tc>
        <w:tc>
          <w:tcPr>
            <w:tcW w:w="1960"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1201 管理科学与工程</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管理科学与工程</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工商管理</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工商管理</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企业管理</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技术经济及管理</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农林经济管理</w:t>
            </w:r>
          </w:p>
        </w:tc>
        <w:tc>
          <w:tcPr>
            <w:tcW w:w="1960"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农林经济管理</w:t>
            </w: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农业经济管理</w:t>
            </w:r>
          </w:p>
        </w:tc>
      </w:tr>
      <w:tr>
        <w:tblPrEx>
          <w:tblLayout w:type="fixed"/>
          <w:tblCellMar>
            <w:top w:w="0" w:type="dxa"/>
            <w:left w:w="0" w:type="dxa"/>
            <w:bottom w:w="0" w:type="dxa"/>
            <w:right w:w="0" w:type="dxa"/>
          </w:tblCellMar>
        </w:tblPrEx>
        <w:trPr>
          <w:tblCellSpacing w:w="0" w:type="dxa"/>
          <w:jc w:val="center"/>
        </w:trPr>
        <w:tc>
          <w:tcPr>
            <w:tcW w:w="1024" w:type="dxa"/>
            <w:vMerge w:val="continue"/>
            <w:shd w:val="clear"/>
            <w:vAlign w:val="center"/>
          </w:tcPr>
          <w:p>
            <w:pPr>
              <w:jc w:val="left"/>
              <w:rPr>
                <w:rFonts w:hint="eastAsia" w:ascii="宋体" w:hAnsi="宋体" w:eastAsia="宋体" w:cs="宋体"/>
                <w:color w:val="333333"/>
                <w:sz w:val="18"/>
                <w:szCs w:val="18"/>
              </w:rPr>
            </w:pPr>
          </w:p>
        </w:tc>
        <w:tc>
          <w:tcPr>
            <w:tcW w:w="2095" w:type="dxa"/>
            <w:vMerge w:val="continue"/>
            <w:shd w:val="clear"/>
            <w:vAlign w:val="center"/>
          </w:tcPr>
          <w:p>
            <w:pPr>
              <w:jc w:val="left"/>
              <w:rPr>
                <w:rFonts w:hint="eastAsia" w:ascii="宋体" w:hAnsi="宋体" w:eastAsia="宋体" w:cs="宋体"/>
                <w:color w:val="333333"/>
                <w:sz w:val="18"/>
                <w:szCs w:val="18"/>
              </w:rPr>
            </w:pPr>
          </w:p>
        </w:tc>
        <w:tc>
          <w:tcPr>
            <w:tcW w:w="1960" w:type="dxa"/>
            <w:vMerge w:val="continue"/>
            <w:shd w:val="clear"/>
            <w:vAlign w:val="center"/>
          </w:tcPr>
          <w:p>
            <w:pPr>
              <w:jc w:val="left"/>
              <w:rPr>
                <w:rFonts w:hint="eastAsia" w:ascii="宋体" w:hAnsi="宋体" w:eastAsia="宋体" w:cs="宋体"/>
                <w:color w:val="333333"/>
                <w:sz w:val="18"/>
                <w:szCs w:val="18"/>
              </w:rPr>
            </w:pPr>
          </w:p>
        </w:tc>
        <w:tc>
          <w:tcPr>
            <w:tcW w:w="3226"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林业经济管理</w:t>
            </w:r>
          </w:p>
        </w:tc>
      </w:tr>
    </w:tbl>
    <w:p>
      <w:pPr>
        <w:pStyle w:val="2"/>
        <w:keepNext w:val="0"/>
        <w:keepLines w:val="0"/>
        <w:widowControl/>
        <w:suppressLineNumbers w:val="0"/>
        <w:spacing w:before="526" w:beforeAutospacing="0" w:after="300" w:afterAutospacing="0" w:line="390" w:lineRule="atLeast"/>
        <w:ind w:left="406" w:right="0" w:firstLine="420"/>
        <w:jc w:val="left"/>
        <w:rPr>
          <w:color w:val="000000"/>
          <w:sz w:val="21"/>
          <w:szCs w:val="21"/>
        </w:rPr>
      </w:pPr>
      <w:r>
        <w:rPr>
          <w:rFonts w:hint="eastAsia" w:ascii="宋体" w:hAnsi="宋体" w:eastAsia="宋体" w:cs="宋体"/>
          <w:color w:val="000000"/>
          <w:sz w:val="21"/>
          <w:szCs w:val="21"/>
        </w:rPr>
        <w:t>注：源自教育部《授予博士、硕士学位和培养研究生的学科、专业目录》（全国）（1997年修订）、《学位授予和人才培养学科目录(2011年)》</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二、本科专业</w:t>
      </w:r>
    </w:p>
    <w:tbl>
      <w:tblPr>
        <w:tblW w:w="8306" w:type="dxa"/>
        <w:jc w:val="center"/>
        <w:tblCellSpacing w:w="0" w:type="dxa"/>
        <w:tblInd w:w="0" w:type="dxa"/>
        <w:shd w:val="clear"/>
        <w:tblLayout w:type="fixed"/>
        <w:tblCellMar>
          <w:top w:w="0" w:type="dxa"/>
          <w:left w:w="0" w:type="dxa"/>
          <w:bottom w:w="0" w:type="dxa"/>
          <w:right w:w="0" w:type="dxa"/>
        </w:tblCellMar>
      </w:tblPr>
      <w:tblGrid>
        <w:gridCol w:w="752"/>
        <w:gridCol w:w="1163"/>
        <w:gridCol w:w="1308"/>
        <w:gridCol w:w="2032"/>
        <w:gridCol w:w="3051"/>
      </w:tblGrid>
      <w:tr>
        <w:tblPrEx>
          <w:shd w:val="clear"/>
          <w:tblLayout w:type="fixed"/>
        </w:tblPrEx>
        <w:trPr>
          <w:trHeight w:val="615" w:hRule="atLeast"/>
          <w:tblCellSpacing w:w="0" w:type="dxa"/>
          <w:jc w:val="center"/>
        </w:trPr>
        <w:tc>
          <w:tcPr>
            <w:tcW w:w="75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分类</w:t>
            </w: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2012年9月-现在专业名称</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1998年－2012年9月专业名称</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1993－1998年专业名称</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1993年前专业名称</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restart"/>
            <w:shd w:val="clear"/>
            <w:vAlign w:val="center"/>
          </w:tcPr>
          <w:p>
            <w:pPr>
              <w:pStyle w:val="2"/>
              <w:keepNext w:val="0"/>
              <w:keepLines w:val="0"/>
              <w:widowControl/>
              <w:suppressLineNumbers w:val="0"/>
              <w:spacing w:before="300" w:beforeAutospacing="0" w:line="390" w:lineRule="atLeast"/>
              <w:ind w:left="120" w:firstLine="420"/>
              <w:jc w:val="center"/>
              <w:rPr>
                <w:color w:val="000000"/>
                <w:sz w:val="21"/>
                <w:szCs w:val="21"/>
              </w:rPr>
            </w:pPr>
            <w:r>
              <w:rPr>
                <w:rFonts w:hint="eastAsia" w:ascii="宋体" w:hAnsi="宋体" w:eastAsia="宋体" w:cs="宋体"/>
                <w:color w:val="000000"/>
                <w:sz w:val="21"/>
                <w:szCs w:val="21"/>
              </w:rPr>
              <w:t>工学类</w:t>
            </w: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土木工程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土木工程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矿井建设</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矿井建设</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土建结构工程，工业与民用建筑工程，岩土工程，地下工程与隧道工程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435" w:firstLine="420"/>
              <w:jc w:val="left"/>
              <w:rPr>
                <w:color w:val="000000"/>
                <w:sz w:val="21"/>
                <w:szCs w:val="21"/>
              </w:rPr>
            </w:pPr>
            <w:r>
              <w:rPr>
                <w:rFonts w:hint="eastAsia" w:ascii="宋体" w:hAnsi="宋体" w:eastAsia="宋体" w:cs="宋体"/>
                <w:color w:val="000000"/>
                <w:sz w:val="21"/>
                <w:szCs w:val="21"/>
              </w:rPr>
              <w:t>城镇建设</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城镇建设</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交通土建工程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铁道工程，公路与城市道路工程，地下工程与隧道工程，桥梁工程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工业设备安装工程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工业设备安装工程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饭店工程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涉外建筑工程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土木工程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建筑学</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建筑学</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建筑学，风景园林，室内设计</w:t>
            </w:r>
          </w:p>
        </w:tc>
      </w:tr>
      <w:tr>
        <w:tblPrEx>
          <w:tblLayout w:type="fixed"/>
          <w:tblCellMar>
            <w:top w:w="0" w:type="dxa"/>
            <w:left w:w="0" w:type="dxa"/>
            <w:bottom w:w="0" w:type="dxa"/>
            <w:right w:w="0" w:type="dxa"/>
          </w:tblCellMar>
        </w:tblPrEx>
        <w:trPr>
          <w:trHeight w:val="286"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电子信息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科学与技术</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电子信息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科学与技术</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无线电物理学</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无线电物理学，物理电子学，无线电波传播与天线</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电子学与信息系统　</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电子学与信息系统，生物医学与信息系统</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信息与电子科学</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电子科学</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与技术</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电子科学</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与技术</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电子材料与无器件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电子材料与元器件，磁性物理与器件</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微电子技术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半导体物理与器件</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物理电子技术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物理电子技术，电光源</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光电子技术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光电子技术，红外技术，光电成像技术</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物理电子和光电子技术</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计算机</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科学与技术</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计算机</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科学与技术</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计算机及应用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计算机及应用</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计算机软件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计算机软件</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计算机科学教育</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计算机科学教育</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软件工程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计算机器件及设备</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计算机科学与技术</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采矿工程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采矿工程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采矿工程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采矿工程，露天开采，矿山工程物理　</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矿物加工</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矿物加工</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选矿工程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选矿工程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矿物加工工程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勘察技术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勘察技术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水文地质与工程地质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水文地质与工程地质</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应用地球化学</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地球化学与勘察</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应用地球物理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勘查地球物理，矿场地球物理</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勘察工程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探矿工程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restart"/>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测绘工程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测绘工程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大地测量</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大地测量</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测量工程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测量学，工程测量，矿山测量</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摄影测量与遥感</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摄影测量与遥感</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地图学</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地图制图</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交通工程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交通工程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交通工程，公路、道路及机场工程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总图设计与运输工程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总图设计与运输</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道路交通事故防治工程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16"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港口航道</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与海岸工程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港口航道</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与海岸工程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港口航道及治河工程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港口及航道工程，河流泥沙及治河工程，港口水工建筑工程，水道及港口工程，航道（或整治）工程</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海岸与海洋工程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海洋工程，港口、海岸及近岸工程，港口航道及海岸工程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船舶与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海洋工程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船舶与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海洋工程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船舶工程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船舶工程，造船工艺及设备</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海岸与海洋工程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海洋工程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水利水电</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水利水电</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水利水电建筑工程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水利水电工程施工，水利水电工程建筑</w:t>
            </w:r>
          </w:p>
        </w:tc>
      </w:tr>
      <w:tr>
        <w:tblPrEx>
          <w:tblLayout w:type="fixed"/>
          <w:tblCellMar>
            <w:top w:w="0" w:type="dxa"/>
            <w:left w:w="0" w:type="dxa"/>
            <w:bottom w:w="0" w:type="dxa"/>
            <w:right w:w="0" w:type="dxa"/>
          </w:tblCellMar>
        </w:tblPrEx>
        <w:trPr>
          <w:trHeight w:val="33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水利水电工程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河川枢纽及水电站建筑物，水工结构工程</w:t>
            </w:r>
          </w:p>
        </w:tc>
      </w:tr>
      <w:tr>
        <w:tblPrEx>
          <w:tblLayout w:type="fixed"/>
          <w:tblCellMar>
            <w:top w:w="0" w:type="dxa"/>
            <w:left w:w="0" w:type="dxa"/>
            <w:bottom w:w="0" w:type="dxa"/>
            <w:right w:w="0" w:type="dxa"/>
          </w:tblCellMar>
        </w:tblPrEx>
        <w:trPr>
          <w:trHeight w:val="36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水文与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水资源工程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水文与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水资源工程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水文与水资源利用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陆地水文，海洋工程水文，水资源规划及利用</w:t>
            </w:r>
          </w:p>
        </w:tc>
      </w:tr>
      <w:tr>
        <w:tblPrEx>
          <w:tblLayout w:type="fixed"/>
          <w:tblCellMar>
            <w:top w:w="0" w:type="dxa"/>
            <w:left w:w="0" w:type="dxa"/>
            <w:bottom w:w="0" w:type="dxa"/>
            <w:right w:w="0" w:type="dxa"/>
          </w:tblCellMar>
        </w:tblPrEx>
        <w:trPr>
          <w:trHeight w:val="316"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能源与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动力工程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热能与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动力工程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热力发动机</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热能动力机械与装置，内燃机，热力涡轮机，军用车辆发动机，水下动力机械工程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流体机械及流体工程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流体机械，压缩机，水力机械</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热能工程与动力机械</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6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热能工程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工程热物理，热能工程，电厂热能动力工程，锅炉</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制冷与低温技术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制冷设备与低温技术</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能源工程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工程热物理</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水利水电动力工程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水利水电动力工程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冷冻冷藏工程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制冷与冷藏技术</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冶金工程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冶金工程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钢铁冶金</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钢铁冶金</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有色金属冶金</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有色金属冶金</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冶金物理化学</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冶金物理化学</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冶金</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环境工程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环境工程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环境监测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环境监测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环境规划与管理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环境规划与管理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水文地质与工程地质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水文地质与工程地质</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农业环境保护</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农业环境保护</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安全工程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安全工程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矿山通风与安全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矿山通风与安全</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安全工程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安全工程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restart"/>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金属</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材料工程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金属材料工程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金属材料与热处理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金属材料与热处理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金属压力加工</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金属压力加工</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粉末冶金</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粉末冶金</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复合材料</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复合材料</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腐蚀与防护</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腐蚀与防护</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铸造</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铸造</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塑性成形工艺及设备</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锻压工艺及设备</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焊接工艺及设备</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焊接工艺及设备</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无机非金属</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材料工程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无机非金属材料工程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无机非金属材料</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无机非金属材料，建筑材料与制品</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硅酸盐工程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硅酸盐工程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复合材料</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复合材料</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材料成型及</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控制工程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材料成型及控制工程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金属材料与热处理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金属材料与热处理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热加工工艺及设备</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热加工工艺及设备</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铸造</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铸造</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塑性成形工艺及设备</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锻压工艺及设备</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焊接工艺及设备</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焊接工艺及设备</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石油工程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石油工程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石油工程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钻井工程，采油工程，油藏工程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油气</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储运工程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油气储运工程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石油天然气储运工程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石油储运</w:t>
            </w:r>
          </w:p>
        </w:tc>
      </w:tr>
      <w:tr>
        <w:tblPrEx>
          <w:tblLayout w:type="fixed"/>
          <w:tblCellMar>
            <w:top w:w="0" w:type="dxa"/>
            <w:left w:w="0" w:type="dxa"/>
            <w:bottom w:w="0" w:type="dxa"/>
            <w:right w:w="0" w:type="dxa"/>
          </w:tblCellMar>
        </w:tblPrEx>
        <w:trPr>
          <w:trHeight w:val="226"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化学工程</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与工艺</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化学工程</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与工艺</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化学工程，石油加工，工业化学，核化工</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化工工艺</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无机化工，有机化工，煤化工</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高分子化工</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高分子化工</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精细化工</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精细化工，感光材料</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生物化工</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生物化工</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工业分析</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工业分析</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电化学工程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电化学生产工艺</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工业催化</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工业催化</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化学工程与工艺</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高分子材料及化工</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生物化学工程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生物工程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生物工程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生物化工</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生物化工</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微生物制药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微生物制药</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生物化学工程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发酵工程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发酵工程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制药工程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制药工程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化学制药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化学制药</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生物制药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生物制药</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中药制药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中药制药</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制药工程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16"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给排水</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科学与工程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给水排水工程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给水排水工程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给水排水工程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restart"/>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建筑环境</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与能源应用工程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建筑环境与设备工程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供热通风与空调工程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供热通风与空调工程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城市燃气工程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城市燃气工程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供热空调与燃气工程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通信工程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通信工程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通信工程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通信工程，无线通信，计算机通信</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计算机通信</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电子信息工程</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电子信息工程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无线电技术，广播电视工程，电子视监，电子工程，水声电子工程，船舶通信导航，大气探测技术，微电子电路与系统，水下引导电子技术</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应用电子技术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应用电子技术，电子技术</w:t>
            </w:r>
          </w:p>
        </w:tc>
      </w:tr>
      <w:tr>
        <w:tblPrEx>
          <w:tblLayout w:type="fixed"/>
          <w:tblCellMar>
            <w:top w:w="0" w:type="dxa"/>
            <w:left w:w="0" w:type="dxa"/>
            <w:bottom w:w="0" w:type="dxa"/>
            <w:right w:w="0" w:type="dxa"/>
          </w:tblCellMar>
        </w:tblPrEx>
        <w:trPr>
          <w:trHeight w:val="226"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信息工程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信息工程，图象传输与处理，信息处理显示与识别，</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电磁场与微波技术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电磁场与微波技术</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广播电视工程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电子信息工程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无线电技术与信息系统</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电子与信息技术</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摄影测量与遥感</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摄影测量与遥感</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公共安全图像技术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刑事照相</w:t>
            </w:r>
          </w:p>
        </w:tc>
      </w:tr>
      <w:tr>
        <w:tblPrEx>
          <w:tblLayout w:type="fixed"/>
          <w:tblCellMar>
            <w:top w:w="0" w:type="dxa"/>
            <w:left w:w="0" w:type="dxa"/>
            <w:bottom w:w="0" w:type="dxa"/>
            <w:right w:w="0" w:type="dxa"/>
          </w:tblCellMar>
        </w:tblPrEx>
        <w:trPr>
          <w:trHeight w:val="271"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机械设计制造及其自动化</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机械设计制造及其自动化</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机械制造工艺与设备</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机械制造工艺与设备，机械制造工程，精密机械与仪器制造，精密机械与仪器制造，精密机械工程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机械设计及制造</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机械设计及制造，矿业机械，冶金机械，起重运输与工程机械，高分子材料加工机械，纺织机械，仪器机械，印刷机械，农业机械</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机车车辆工程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铁道车辆</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汽车与拖拉机</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汽车与拖拉机</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流体传动及控制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流体传动及控制，流体控制与操纵系统</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真空技术及设备</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真空技术及设备</w:t>
            </w:r>
          </w:p>
        </w:tc>
      </w:tr>
      <w:tr>
        <w:tblPrEx>
          <w:tblLayout w:type="fixed"/>
          <w:tblCellMar>
            <w:top w:w="0" w:type="dxa"/>
            <w:left w:w="0" w:type="dxa"/>
            <w:bottom w:w="0" w:type="dxa"/>
            <w:right w:w="0" w:type="dxa"/>
          </w:tblCellMar>
        </w:tblPrEx>
        <w:trPr>
          <w:trHeight w:val="271"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机械电子工程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电子精密机械，电子设备结构，机械自动化及机器人，机械制造电子控制与检测，机械电子工程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设备工程与管理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设备工程与管理</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林业与木工机械</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林业机械</w:t>
            </w:r>
          </w:p>
        </w:tc>
      </w:tr>
      <w:tr>
        <w:tblPrEx>
          <w:tblLayout w:type="fixed"/>
          <w:tblCellMar>
            <w:top w:w="0" w:type="dxa"/>
            <w:left w:w="0" w:type="dxa"/>
            <w:bottom w:w="0" w:type="dxa"/>
            <w:right w:w="0" w:type="dxa"/>
          </w:tblCellMar>
        </w:tblPrEx>
        <w:trPr>
          <w:trHeight w:val="241"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测控技术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与仪器</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测控技术</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与仪器</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精密仪器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精密仪器，时间计控技术及仪器，分析仪器，科学仪器工程</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光学技术与光电仪器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应用光学，光学材料，光学工艺与测试，光学仪器</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检测技术及仪器仪表</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检测技术及仪器，电磁测量及仪表，工业自动化仪表，仪表及测试系统，无损检测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电子仪器及测量技术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电子仪器及测量技术</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几何量计量测试</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几何量计量测试</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热工计量测试</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热工计量测试</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力学计量测试</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力学计量测试</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无线电计量测试</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无线电计量测试</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检测技术与精密仪器</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测控技术与仪器</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过程装备与</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控制工程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过程装备与控制工程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化工设备与机械</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化工设备与机械</w:t>
            </w:r>
          </w:p>
        </w:tc>
      </w:tr>
      <w:tr>
        <w:tblPrEx>
          <w:tblLayout w:type="fixed"/>
          <w:tblCellMar>
            <w:top w:w="0" w:type="dxa"/>
            <w:left w:w="0" w:type="dxa"/>
            <w:bottom w:w="0" w:type="dxa"/>
            <w:right w:w="0" w:type="dxa"/>
          </w:tblCellMar>
        </w:tblPrEx>
        <w:trPr>
          <w:trHeight w:val="226"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电气工程</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及其自动化</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电气工程及其自动化</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电力系统及其自动化</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电力系统及其自动化，继电保护与自动远动技术</w:t>
            </w:r>
          </w:p>
        </w:tc>
      </w:tr>
      <w:tr>
        <w:tblPrEx>
          <w:tblLayout w:type="fixed"/>
          <w:tblCellMar>
            <w:top w:w="0" w:type="dxa"/>
            <w:left w:w="0" w:type="dxa"/>
            <w:bottom w:w="0" w:type="dxa"/>
            <w:right w:w="0" w:type="dxa"/>
          </w:tblCellMar>
        </w:tblPrEx>
        <w:trPr>
          <w:trHeight w:val="36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高电压与绝缘技术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高电压技术及设备，电气绝缘与电缆，电气绝缘材料</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电气技术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电气技术，船舶电气管理，铁道电气化</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电机电器及其控制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电机，电器，微特电机及控制电器</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光源与照明</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电气工程及其自动化</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航海技术</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航海技术</w:t>
            </w:r>
          </w:p>
        </w:tc>
        <w:tc>
          <w:tcPr>
            <w:tcW w:w="2032" w:type="dxa"/>
            <w:shd w:val="clear"/>
            <w:vAlign w:val="center"/>
          </w:tcPr>
          <w:p>
            <w:pPr>
              <w:pStyle w:val="2"/>
              <w:keepNext w:val="0"/>
              <w:keepLines w:val="0"/>
              <w:widowControl/>
              <w:suppressLineNumbers w:val="0"/>
              <w:spacing w:before="300" w:beforeAutospacing="0" w:line="390" w:lineRule="atLeast"/>
              <w:ind w:left="-975" w:firstLine="420"/>
              <w:jc w:val="left"/>
              <w:rPr>
                <w:color w:val="000000"/>
                <w:sz w:val="21"/>
                <w:szCs w:val="21"/>
              </w:rPr>
            </w:pPr>
            <w:r>
              <w:rPr>
                <w:rFonts w:hint="eastAsia" w:ascii="宋体" w:hAnsi="宋体" w:eastAsia="宋体" w:cs="宋体"/>
                <w:color w:val="000000"/>
                <w:sz w:val="21"/>
                <w:szCs w:val="21"/>
              </w:rPr>
              <w:t>海 海洋船舶驾驶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海洋船舶驾驶</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轮机工程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轮机工程</w:t>
            </w:r>
          </w:p>
        </w:tc>
        <w:tc>
          <w:tcPr>
            <w:tcW w:w="2032" w:type="dxa"/>
            <w:shd w:val="clear"/>
            <w:vAlign w:val="center"/>
          </w:tcPr>
          <w:p>
            <w:pPr>
              <w:pStyle w:val="2"/>
              <w:keepNext w:val="0"/>
              <w:keepLines w:val="0"/>
              <w:widowControl/>
              <w:suppressLineNumbers w:val="0"/>
              <w:spacing w:before="300" w:beforeAutospacing="0" w:line="390" w:lineRule="atLeast"/>
              <w:ind w:left="-975" w:firstLine="420"/>
              <w:jc w:val="left"/>
              <w:rPr>
                <w:color w:val="000000"/>
                <w:sz w:val="21"/>
                <w:szCs w:val="21"/>
              </w:rPr>
            </w:pPr>
            <w:r>
              <w:rPr>
                <w:rFonts w:hint="eastAsia" w:ascii="宋体" w:hAnsi="宋体" w:eastAsia="宋体" w:cs="宋体"/>
                <w:color w:val="000000"/>
                <w:sz w:val="21"/>
                <w:szCs w:val="21"/>
              </w:rPr>
              <w:t>轮 轮机管理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轮机管理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交通运输</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交通运输</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交通运输</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铁道运输，交通运输管理工程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载运工具运用工程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汽车运用工程</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道路交通管理工程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自动化</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自动化</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流体传动及控制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流体机械，压缩机，水力机械</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工业自动化</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工业自动化，工业电气自动化，生产过程自动化，电力牵引与传动控制</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自动化</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自动控制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自动控制，交通信号与控制，水下自航器自动控制</w:t>
            </w:r>
          </w:p>
        </w:tc>
      </w:tr>
      <w:tr>
        <w:tblPrEx>
          <w:tblLayout w:type="fixed"/>
          <w:tblCellMar>
            <w:top w:w="0" w:type="dxa"/>
            <w:left w:w="0" w:type="dxa"/>
            <w:bottom w:w="0" w:type="dxa"/>
            <w:right w:w="0" w:type="dxa"/>
          </w:tblCellMar>
        </w:tblPrEx>
        <w:trPr>
          <w:trHeight w:val="34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飞行器制导与控制</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飞行器自动控制 ，导弹制导，惯性导航与仪表</w:t>
            </w:r>
          </w:p>
        </w:tc>
      </w:tr>
      <w:tr>
        <w:tblPrEx>
          <w:tblLayout w:type="fixed"/>
          <w:tblCellMar>
            <w:top w:w="0" w:type="dxa"/>
            <w:left w:w="0" w:type="dxa"/>
            <w:bottom w:w="0" w:type="dxa"/>
            <w:right w:w="0" w:type="dxa"/>
          </w:tblCellMar>
        </w:tblPrEx>
        <w:trPr>
          <w:trHeight w:val="39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生物医学工程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生物医学工程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生物医学工程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生物医学工程，生物医学工程与仪器</w:t>
            </w:r>
          </w:p>
        </w:tc>
      </w:tr>
      <w:tr>
        <w:tblPrEx>
          <w:tblLayout w:type="fixed"/>
          <w:tblCellMar>
            <w:top w:w="0" w:type="dxa"/>
            <w:left w:w="0" w:type="dxa"/>
            <w:bottom w:w="0" w:type="dxa"/>
            <w:right w:w="0" w:type="dxa"/>
          </w:tblCellMar>
        </w:tblPrEx>
        <w:trPr>
          <w:trHeight w:val="241"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核工程与核技术</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核工程与核技术</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核技术</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同位素分离，核材料，核电子学与核技术应用</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核工程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核反应堆工程，核动力装置</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工程力学</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工程力学</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工程力学</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工程力学</w:t>
            </w:r>
          </w:p>
        </w:tc>
      </w:tr>
      <w:tr>
        <w:tblPrEx>
          <w:tblLayout w:type="fixed"/>
          <w:tblCellMar>
            <w:top w:w="0" w:type="dxa"/>
            <w:left w:w="0" w:type="dxa"/>
            <w:bottom w:w="0" w:type="dxa"/>
            <w:right w:w="0" w:type="dxa"/>
          </w:tblCellMar>
        </w:tblPrEx>
        <w:trPr>
          <w:trHeight w:val="330" w:hRule="atLeast"/>
          <w:tblCellSpacing w:w="0" w:type="dxa"/>
          <w:jc w:val="center"/>
        </w:trPr>
        <w:tc>
          <w:tcPr>
            <w:tcW w:w="752"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管</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理</w:t>
            </w:r>
          </w:p>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学</w:t>
            </w: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工程管理</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工程管理</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管理过程</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工业管理工程，建筑管理工程，邮电管理工程，物资管理工程，基本建设管理工程</w:t>
            </w:r>
          </w:p>
        </w:tc>
      </w:tr>
      <w:tr>
        <w:tblPrEx>
          <w:tblLayout w:type="fixed"/>
          <w:tblCellMar>
            <w:top w:w="0" w:type="dxa"/>
            <w:left w:w="0" w:type="dxa"/>
            <w:bottom w:w="0" w:type="dxa"/>
            <w:right w:w="0" w:type="dxa"/>
          </w:tblCellMar>
        </w:tblPrEx>
        <w:trPr>
          <w:trHeight w:val="330"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涉外建筑工程营造与管理</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国际工程管理</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房地产经营管理</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工业工程</w:t>
            </w:r>
          </w:p>
        </w:tc>
        <w:tc>
          <w:tcPr>
            <w:tcW w:w="1308" w:type="dxa"/>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工业工程</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工业工程</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工商管理</w:t>
            </w:r>
          </w:p>
        </w:tc>
        <w:tc>
          <w:tcPr>
            <w:tcW w:w="1308" w:type="dxa"/>
            <w:vMerge w:val="restart"/>
            <w:shd w:val="clear"/>
            <w:vAlign w:val="center"/>
          </w:tcPr>
          <w:p>
            <w:pPr>
              <w:pStyle w:val="2"/>
              <w:keepNext w:val="0"/>
              <w:keepLines w:val="0"/>
              <w:widowControl/>
              <w:suppressLineNumbers w:val="0"/>
              <w:spacing w:before="300" w:beforeAutospacing="0" w:line="390" w:lineRule="atLeast"/>
              <w:ind w:left="0" w:firstLine="420"/>
              <w:jc w:val="center"/>
              <w:rPr>
                <w:color w:val="000000"/>
                <w:sz w:val="21"/>
                <w:szCs w:val="21"/>
              </w:rPr>
            </w:pPr>
            <w:r>
              <w:rPr>
                <w:rFonts w:hint="eastAsia" w:ascii="宋体" w:hAnsi="宋体" w:eastAsia="宋体" w:cs="宋体"/>
                <w:color w:val="000000"/>
                <w:sz w:val="21"/>
                <w:szCs w:val="21"/>
              </w:rPr>
              <w:t>工商管理</w:t>
            </w: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企业管理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企业管理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国际企业管理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国际企业管理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工商管理</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投资经济</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投资经济管理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技术经济</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技术经济</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邮电通信管理</w:t>
            </w:r>
          </w:p>
        </w:tc>
        <w:tc>
          <w:tcPr>
            <w:tcW w:w="3051" w:type="dxa"/>
            <w:shd w:val="clear"/>
            <w:vAlign w:val="center"/>
          </w:tcPr>
          <w:p>
            <w:pPr>
              <w:jc w:val="left"/>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林业经济管理</w:t>
            </w:r>
          </w:p>
        </w:tc>
        <w:tc>
          <w:tcPr>
            <w:tcW w:w="3051"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林业经济管理</w:t>
            </w:r>
          </w:p>
        </w:tc>
      </w:tr>
      <w:tr>
        <w:tblPrEx>
          <w:tblLayout w:type="fixed"/>
          <w:tblCellMar>
            <w:top w:w="0" w:type="dxa"/>
            <w:left w:w="0" w:type="dxa"/>
            <w:bottom w:w="0" w:type="dxa"/>
            <w:right w:w="0" w:type="dxa"/>
          </w:tblCellMar>
        </w:tblPrEx>
        <w:trPr>
          <w:trHeight w:val="375" w:hRule="atLeast"/>
          <w:tblCellSpacing w:w="0" w:type="dxa"/>
          <w:jc w:val="center"/>
        </w:trPr>
        <w:tc>
          <w:tcPr>
            <w:tcW w:w="752" w:type="dxa"/>
            <w:vMerge w:val="continue"/>
            <w:shd w:val="clear"/>
            <w:vAlign w:val="center"/>
          </w:tcPr>
          <w:p>
            <w:pPr>
              <w:jc w:val="left"/>
              <w:rPr>
                <w:rFonts w:hint="eastAsia" w:ascii="宋体" w:hAnsi="宋体" w:eastAsia="宋体" w:cs="宋体"/>
                <w:color w:val="333333"/>
                <w:sz w:val="18"/>
                <w:szCs w:val="18"/>
              </w:rPr>
            </w:pPr>
          </w:p>
        </w:tc>
        <w:tc>
          <w:tcPr>
            <w:tcW w:w="1163" w:type="dxa"/>
            <w:vMerge w:val="continue"/>
            <w:shd w:val="clear"/>
            <w:vAlign w:val="center"/>
          </w:tcPr>
          <w:p>
            <w:pPr>
              <w:jc w:val="left"/>
              <w:rPr>
                <w:rFonts w:hint="eastAsia" w:ascii="宋体" w:hAnsi="宋体" w:eastAsia="宋体" w:cs="宋体"/>
                <w:color w:val="333333"/>
                <w:sz w:val="18"/>
                <w:szCs w:val="18"/>
              </w:rPr>
            </w:pPr>
          </w:p>
        </w:tc>
        <w:tc>
          <w:tcPr>
            <w:tcW w:w="1308" w:type="dxa"/>
            <w:vMerge w:val="continue"/>
            <w:shd w:val="clear"/>
            <w:vAlign w:val="center"/>
          </w:tcPr>
          <w:p>
            <w:pPr>
              <w:jc w:val="left"/>
              <w:rPr>
                <w:rFonts w:hint="eastAsia" w:ascii="宋体" w:hAnsi="宋体" w:eastAsia="宋体" w:cs="宋体"/>
                <w:color w:val="333333"/>
                <w:sz w:val="18"/>
                <w:szCs w:val="18"/>
              </w:rPr>
            </w:pPr>
          </w:p>
        </w:tc>
        <w:tc>
          <w:tcPr>
            <w:tcW w:w="2032" w:type="dxa"/>
            <w:shd w:val="clear"/>
            <w:vAlign w:val="center"/>
          </w:tcPr>
          <w:p>
            <w:pPr>
              <w:pStyle w:val="2"/>
              <w:keepNext w:val="0"/>
              <w:keepLines w:val="0"/>
              <w:widowControl/>
              <w:suppressLineNumbers w:val="0"/>
              <w:spacing w:before="300" w:beforeAutospacing="0" w:line="390" w:lineRule="atLeast"/>
              <w:ind w:left="0" w:firstLine="420"/>
              <w:jc w:val="left"/>
              <w:rPr>
                <w:color w:val="000000"/>
                <w:sz w:val="21"/>
                <w:szCs w:val="21"/>
              </w:rPr>
            </w:pPr>
            <w:r>
              <w:rPr>
                <w:rFonts w:hint="eastAsia" w:ascii="宋体" w:hAnsi="宋体" w:eastAsia="宋体" w:cs="宋体"/>
                <w:color w:val="000000"/>
                <w:sz w:val="21"/>
                <w:szCs w:val="21"/>
              </w:rPr>
              <w:t>农业经济管理</w:t>
            </w:r>
          </w:p>
        </w:tc>
        <w:tc>
          <w:tcPr>
            <w:tcW w:w="3051" w:type="dxa"/>
            <w:shd w:val="clear"/>
            <w:vAlign w:val="center"/>
          </w:tcPr>
          <w:p>
            <w:pPr>
              <w:jc w:val="left"/>
              <w:rPr>
                <w:rFonts w:hint="eastAsia" w:ascii="宋体" w:hAnsi="宋体" w:eastAsia="宋体" w:cs="宋体"/>
                <w:color w:val="333333"/>
                <w:sz w:val="18"/>
                <w:szCs w:val="18"/>
              </w:rPr>
            </w:pPr>
          </w:p>
        </w:tc>
      </w:tr>
    </w:tbl>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注：源自教育部《普通高等学校本科专业目录新旧专业对照表》（2012年）</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三、其他</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专科、中专专业参照教育部《普通高等学校高职高专教育指导性专业目录（试行）》、《中等职业学校专业目录（2010年修订）》中与本附件所列本科专业相应、相近专业执行。</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附件10</w:t>
      </w:r>
    </w:p>
    <w:p>
      <w:pPr>
        <w:pStyle w:val="2"/>
        <w:keepNext w:val="0"/>
        <w:keepLines w:val="0"/>
        <w:widowControl/>
        <w:suppressLineNumbers w:val="0"/>
        <w:spacing w:before="526" w:beforeAutospacing="0" w:after="300" w:afterAutospacing="0" w:line="390" w:lineRule="atLeast"/>
        <w:ind w:left="0" w:right="0" w:firstLine="420"/>
        <w:jc w:val="center"/>
        <w:rPr>
          <w:color w:val="000000"/>
          <w:sz w:val="21"/>
          <w:szCs w:val="21"/>
        </w:rPr>
      </w:pPr>
      <w:r>
        <w:rPr>
          <w:rStyle w:val="4"/>
          <w:rFonts w:hint="eastAsia" w:ascii="宋体" w:hAnsi="宋体" w:eastAsia="宋体" w:cs="宋体"/>
          <w:color w:val="000000"/>
          <w:sz w:val="21"/>
          <w:szCs w:val="21"/>
        </w:rPr>
        <w:t>有关从事安全生产业务的规定和解释</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一、原人事部、劳动部《关于印发&lt;安全工程专业中、高级技术资格评审条件（试行）&gt;的通知》（人发〔1997〕109号）有关规定</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Style w:val="4"/>
          <w:rFonts w:hint="eastAsia" w:ascii="宋体" w:hAnsi="宋体" w:eastAsia="宋体" w:cs="宋体"/>
          <w:color w:val="000000"/>
          <w:sz w:val="21"/>
          <w:szCs w:val="21"/>
        </w:rPr>
        <w:t xml:space="preserve">第二条 </w:t>
      </w:r>
      <w:r>
        <w:rPr>
          <w:rFonts w:hint="eastAsia" w:ascii="宋体" w:hAnsi="宋体" w:eastAsia="宋体" w:cs="宋体"/>
          <w:color w:val="000000"/>
          <w:sz w:val="21"/>
          <w:szCs w:val="21"/>
        </w:rPr>
        <w:t>本评审条件中所指“安全工程专业技术人员”，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Style w:val="4"/>
          <w:rFonts w:hint="eastAsia" w:ascii="宋体" w:hAnsi="宋体" w:eastAsia="宋体" w:cs="宋体"/>
          <w:color w:val="000000"/>
          <w:sz w:val="21"/>
          <w:szCs w:val="21"/>
        </w:rPr>
        <w:t>第五条</w:t>
      </w:r>
      <w:r>
        <w:rPr>
          <w:rFonts w:hint="eastAsia" w:ascii="宋体" w:hAnsi="宋体" w:eastAsia="宋体" w:cs="宋体"/>
          <w:color w:val="000000"/>
          <w:sz w:val="21"/>
          <w:szCs w:val="21"/>
        </w:rPr>
        <w:t xml:space="preserve"> 本评审条件适用于从事以下五类工程技术工作的人员：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 xml:space="preserve">（一）劳动安全工程 </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（二）劳动卫生工程</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生产场所有毒、有害因素的监测、控制技术；职业危害的识别、评价、分级技术；劳动卫生工程技术研究，劳动卫生工程设计、施工和评估及与此有关的实验测试研究；劳动卫生防护用品研制、开发；劳动卫生技术标准、技术文件的制订、修订和其他有关的技术工作。</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（三）特种设备安全工程</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（四）安全检测检验技术</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2．综合性专职安全检测检验工作。</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（五）安全系统工程</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安全工程总体规划与系统设计；安全工程监督与综合性技术标准、技术文件的研究制定；事故危害预测预防与咨询建议、事故调查分析与安全综合评估；安全工程专业教育与技术培训等。</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二、《中华人民共和国职业分类大典》（2015版）安全工程技术人员职业详细信息</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职业名称：安全工程技术人员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职业编码：2-02-28（GBM 20228）</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所在分类：专业技术人员》工程技术人员》安全工程技术人员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（1）2-02-28-01 安全防范设计评估工程技术人员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从事安全防范系统工程规划、设计、安全防范风险和系统防护效能评估并指导实施的工程技术人员。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主要工作任务：</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1.识别、分析和评价被防护对象的安全防范风险、编制系统建设规划；</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2.研究、设计被防护对象、系统自身的防护方案和系统工程施工技术方案；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3.制定系统工程施工方案和施工计划，并指导工程施工；</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4.编制系统操作手册和报警处置预案；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5.分析、评价系统防护效能，并出具评价报告；</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6.进行安全防范技术咨询。</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（2）2-02-28-03 安全生产管理工程技术人员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从事安全生产工作计划、组织、实施、监督、检查的工程技术人员。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主要工作任务：</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1.制定安全生产工作思路、落实安全生产事项；</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2.制定安全生产计划、目标、岗位安全操作规程并指导实施；</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3.组织编制安全技术措施应用和安全培训方案。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4.制定安全检查计划，监督、检查安全生产状况，进行事故危害预防预测，分析、评估、处理事故，进行伤亡事故统计、报告；</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5.制定、评估重大隐患的整改方案；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6.组织编写生产安全事故应预案，组织生产安全事故应急演练；</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7.进行职业卫生预防预测。</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（3）2-02-28-04 安全评价工程技术人员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从事生产安全风险度分析、事故影响范围预测、损害程度估算并制订防范措施的工程技术人员。</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主要工作任务：</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1.收集案例资料，编制生产安全危险有害因素辨识、分析方案。</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2.实地勘查、测量、辨识、定性分析危险有害因素，确定危险源；</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3.量化计算风险度，预测可能发生事故的部位、原因、影响范围、损害程度；</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4.制定防范生产安全风险的技术、管理措施并指导实施；</w:t>
      </w:r>
    </w:p>
    <w:p>
      <w:pPr>
        <w:pStyle w:val="2"/>
        <w:keepNext w:val="0"/>
        <w:keepLines w:val="0"/>
        <w:widowControl/>
        <w:suppressLineNumbers w:val="0"/>
        <w:spacing w:before="526" w:beforeAutospacing="0" w:after="300" w:afterAutospacing="0" w:line="390" w:lineRule="atLeast"/>
        <w:ind w:left="0" w:right="0" w:firstLine="420"/>
        <w:jc w:val="left"/>
        <w:rPr>
          <w:color w:val="000000"/>
          <w:sz w:val="21"/>
          <w:szCs w:val="21"/>
        </w:rPr>
      </w:pPr>
      <w:r>
        <w:rPr>
          <w:rFonts w:hint="eastAsia" w:ascii="宋体" w:hAnsi="宋体" w:eastAsia="宋体" w:cs="宋体"/>
          <w:color w:val="000000"/>
          <w:sz w:val="21"/>
          <w:szCs w:val="21"/>
        </w:rPr>
        <w:t>5.提供生产安全风险评价咨询服务，编制评价报告。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A3E2"/>
    <w:multiLevelType w:val="multilevel"/>
    <w:tmpl w:val="5964A3E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964A3ED"/>
    <w:multiLevelType w:val="multilevel"/>
    <w:tmpl w:val="5964A3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80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cf00"/>
    <w:basedOn w:val="3"/>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2017-07-11T10:07:43Z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