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position w:val="6"/>
          <w:sz w:val="20"/>
          <w:lang w:val="zh-CN"/>
        </w:rPr>
      </w:pPr>
      <w:r>
        <w:rPr>
          <w:rFonts w:hint="eastAsia" w:ascii="宋体" w:hAnsi="宋体"/>
          <w:position w:val="6"/>
          <w:sz w:val="20"/>
          <w:lang w:val="zh-CN"/>
        </w:rPr>
        <w:t>2017咨询工程师模拟试题：《项目决策分析与评价》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一、单项选择题(共60题,每题1分.每题的备选项中,只有1个最符合题意)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1[单选题] 如果移民群众的生活得不到有效保障或生活水平大幅降低,受损补偿又不尽合理,群众抵触情绪就会滋生,从而会直接导致项目工期的拖延,此时需要进行的分析是(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A.社会影响分析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B.互适性分析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C.合理性分析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D.社会风险分析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2[单选题] 某投资项目的银行借款的税前资金成本为7.94%,所得税税率为25%,期间通货膨胀率为3%.则税后扣除通货膨胀因素影响的资金成本是(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A.2.87%</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B.4.80%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C.9.23%</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D.11.27%</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3[单选题] 下列社会信息收集的基本程序中,( )对社会评价工作的成效具有至关重要的影响.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A.调查对象的选定是否恰当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B.调查方案的设计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C.收集整理资料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D.分析总结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4[单选题] 改、扩建项目的建设管理费费率应适当低于(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A.迁建项目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B.管理部门规定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C.行业规定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D.新建项目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5[单选题] 某企业从银行贷款100万元投资于某项目,若偿还期为8年,每年末偿还相等的金额,贷款年利率为8%,则每年末应偿还(包括本利和)( )万元.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A.18.36</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B.17.40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C.15.36</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D.14.32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6[单选题] 影响土地影子价格的关键因素是(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A.地势条件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B.地理位置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C.交通条件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D.资源条件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7[单选题] 某工业项目进口一批生产设备,CIF价为200万美元,银行财务费费率为5%,外贸手续费费率为1.5%,进口关税税率为20%,增值税税率为l7%,若美元兑换人民币的外汇牌价=6.2元/美元,则这批设备应纳的增值税为( )万元.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A.252.96</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B.274.9</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C.300.75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D.387.88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8[单选题] 某公司借款1 000万元,年复利率为8%,则10年末连本带利一次需偿还(  )万元.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A.2158.92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B.1540.27</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C.1986.56</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D.1690.30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9[单选题] 某固定资产原值为5000万元,综合折旧年限为5年,净残值率为5%,则按年数总和法计算,得到的第4年的折旧额是( )万元.</w:t>
      </w:r>
      <w:bookmarkStart w:id="0" w:name="_GoBack"/>
      <w:bookmarkEnd w:id="0"/>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A.950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B.633.18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C.432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D.316.67</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10[单选题] 下列选项中,属于生产准备费的是(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A.特许经营费和工资性补贴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B.差旅交通费和建设管理费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C.特许经营费和建设管理费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D.劳动保护费和学习资料费11[单选题] 建设项目所处环境的( )是确定建设项目环境影响评价类别的重要依据.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A.组成特征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B.特点和等级的划分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C.敏感性质和敏感程度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D.周边价值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12[单选题] 某货物FOB价为200美元/吨,用影子价格估算的出口费用为60元/吨,影子汇率1美元=6.2元人民币,则货物的影子价格(出厂价)为( )元/吨.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A.1180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B.1260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C.1340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D.1360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13[单选题] 德尔菲法是市场预测重要的方法之一,下列关于德尔菲法主要缺点的说法中,不正确的是 (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A.缺少思想沟通交流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B.存在组织者主观影响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C.不利于探索性解决问题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D.易忽视少数人的意见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14[单选题] 下列运输方式中,( )适用于经常的、大量的松散物料运输.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A.叉车运输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B.带式输送机运输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C.无轨运输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D.标准轨距铁路运输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15[单选题] 项目投资现金流量识别与报表编制中,计算评价指标的基础是(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A.净现金流量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B.息税前利润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C.现金流人量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D.现金流出量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16[单选题] 关于厂区总平面布置要求的表述,错误的是(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A.在符合生产流程、操作要求和使用功能的前提下,建筑物、构筑物等设施应联合多层布置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B.厂区总平面应根据工厂的生产流程及各组成部分的生产特点和火灾危险性,结合地形、风向等条件,按功能分区集中布置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C.分期建设的工业企业,其近远期工程应统一规划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D.应符合城镇总体规划、工业园区布局规划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17[单选题] 某建设项目占地总面积为l0万平方米,土地征用费为1800万元,设备购置费为3200万元,安装费用为300万元,其他费用忽略不计.如欲使投资强度达到1200万元/万平方米,则建筑工程费应达到( )万元.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A.6500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B.6700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C.7600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D.11200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18[单选题] 风险分析中,风险因素发生的可能性分为五个档次,其中M表示( )风险.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A.很高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B.较高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C.中等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D.较低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19[单选题] 对于一元线性回归分析中拟合值与实际观察值的差,便是(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A.残差项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B.回归系数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C.回归常数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D.同归样本数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20[单选题] 某地区项目范围内全部劳动者报酬是100万元,固定资产折旧是110万元,生产税净额是30万元,营业盈余是90万元,那么该地区的净产值是( )万元.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B.120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C.220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D.330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21[单选题] 下列选项中,(  )类似于生态学巾的生态服务功能.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A.直接使用价值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B.环境非使用价值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C.间接使用价值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D.环境总价值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22[单选题] 交通运输业、建筑业、邮电通信业等行业的项目,以及转让无形资产或者销售不动产应按税法规定计算(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A.增值税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B.企业所得税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C.营业税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D.消费税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23[单选题] 行业竞争结构分析的五因素模型中最重要的竞争力量是(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A.行业新进入者的威胁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B.供应商讨价还价的能力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C.现有企业的竞争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D.替代品的威胁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24[单选题] 场(厂)址投资费用不包括( )费用.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A.地质灾害治理工程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B.动力供应及其他工程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C.场地开拓工程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D.基础工程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25[单选题] 某建设项目前两年每年年末投资400万元,从第3年开始,每年年末等额回收260万元,项目计算期为l0年.设基准收益率为10%,则该项目的净现值为( )万元.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A.256.79</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B.347.92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C.351.90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D.452.14</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26[单选题] 已知2013年货物A的基价为200元,假定2014年货物A的时价上涨率与2015年货物A的时价上涨率分别为2%和3%,则2015年货物A的时价为( )元.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A.206.00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B.210.12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C.210.00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D.206.12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27[单选题] 既是可行性研究的基础,又是决定生产规模的依据的是(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A.地质构造和开采难易程度分析研究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B.矿产地质特征和矿产储量计算分析研究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C.矿产储量和矿床地质条件分析研究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D.勘探手段和矿体控制程度分析研究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28[单选题] 对于( )委托的评估项目,应重点侧重于项目的经济及社会影响评价,分析论证资源配置的合理性等.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A.企业投资者</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B.金融机构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C.政府部门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D.个体户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29[单选题] 由于有较为严格的证券监管,只有实力强、资信良好的企业才有可能发行(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A.企业债券</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B.股票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C.可转换债券</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D.权证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30[单选题] 社会影响范围的界定不包括(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A.对项目的社会影响区域进行界定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B.对项目可能导致的重要影响因素进行合理界定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C.对项目影响区域内的目标群体和影响群体进行合理界定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D.分析哪些社会影响是由项目间接导致的,以及项目的实施还可能产生哪些直接影响31[单选题] 下列不属于融资风险分析基本步骤的是(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A.识别融资风险因素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B.数据准备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C.提出融资风险对策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D.估计融资风险程度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32[单选题] 货物A的进口到岸价为300美元/吨,进口费用为80元/吨,若影子汇率1美元=6.2元人民币,则货物A的影子价格(到厂价)是( )元/吨.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A.1940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B.1935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C.1930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D.1870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33[单选题] 在一元线性回归的预测流程中,紧接在"回归检验"之后的程序是(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A.计算回归参数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B.合理计算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C.输出预测结果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D.预测结果分析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34[单选题] 项目现金流入不包括(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A.建设投资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B.回收资产余值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C.营业收入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D.回收流动资金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35[单选题] 某企业固定资产原价为10000元,预计净残值400元,预计可使用5年.采用年限平均法和双倍余额递减法计算第4年的折旧额分别为( )元.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A.1920和880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B.880和1280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C.1280和880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D.1920和1280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36[单选题] 项目所需投资是项目费用的重要组成部分,是进行( )的基础.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A.风险评价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B.盈亏分析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C.经济评价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D.社会分析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37[单选题] 项目实施阶段的主要风险可能是(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A.政策风险和融资风险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B.工程风险和技术风险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C.市场风险和管理风险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D.工程风险和管理风险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38[单选题] 为了防止和规避项目建设对国家经济安全和社会公共利益可能存在的风险,在( )中,特别要求单独列出"主要风险及应对措施评估"的内容.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A.项目开工报告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B.可行性研究报告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C.初步可行性研究报告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D.项目申请报告评估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39[单选题] 采用( )的目的在于出售或清理某些业务,以便把资源转移到更有潜力的领域.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A.发展策略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B.撤退策略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C.成长策略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D.稳定策略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40[单选题] 估算指标法的精确度相对比概算指标法低,主要适用于( )阶段.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A.投资机会研究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B.项目决策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C.地区投资机会研究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D.初步可行性研究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41[单选题] 费用效果分析基本方法不包括(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A.最小费用法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B.最大费用法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C.最大效果法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D.增量分析法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42[单选题] 某建设项目占地总面积为l0万平方米,土地征用费为1800万元,设备购置费为3200元,安装费用为300万元,建筑工程费为6700万元,则投资强度是( )万元/万平方米.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A.1170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B.1200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C.880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D.1410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43[单选题] 下列部门中,( )对项目是否符合城市规划要求、选址是否合理等负责.</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A.相关行业主管部门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B.环境保护主管部门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C.城市规划主管部门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D.国土资源主管部门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44[单选题] 减量化是指在生产、流通和消费等过程中(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A.将废物经修复、翻新、再制造后继续作为产品使用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B.将废物直接作为原料进行利用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C.减少资源消耗和废物产生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D.将废物的全部或者部分作为其他产品的部件予以使用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45[单选题] 市场风险可能来源于市场需求量变化、价格变化等,价格变化又包括产品或服务的价格、原材料的价格和其他投入物价格的变化等.这体现了不确定性和风险的( )特征.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A.相对性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B.多样性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C.层次性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D.阶段性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46[单选题] 下列关于相关系数R的说法错误的是(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A.当R=-1时,变量x和y为完全负相关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B.当R=0时,变量x与y没有线性关系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C.当R=l时,变量x和y没有线性关系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D.当0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47[单选题] 项目建设单位应委托有相应资质和能力的机构编制(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A.节能评估文件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B.节能效益文件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C.节能措施文件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D.节能审批文件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48[单选题] 对项目在整个计算期内费用与效益进行折(贴)现现金流量分析,且在项目决策分析与评价时要考虑资金的时间价值的是(  )方法.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A.数学分析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B.定量分析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C.静态分析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D.动态分析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49[单选题] 下列市场战略类型中,( )是以企业现有的设备和技术能力为基础,发展与现有产品或服务不同的新产品和服务.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A.新领域进入战略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B.一体化战略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C.重点集中化战略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D.多元化战略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50[单选题] 下列选项中,( )是项目决策分析与评价的现金流量分析中所采用的一个特定的概念,作为运营期内的主要现金流出.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A.期间费用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B.经营成本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C.管理费用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D.营业外支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51[单选题] 安全评价的基本原理不包括(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A.惯性原理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B.主次原理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C.相关性原理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D.类推原理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52[单选题] 对于环境治理项目,其效益目标主要是(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A.满足提供服务的范围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B.达到环境治理的效果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C.使税后内部收益率递增</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D.满足客观需要的程度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53[单选题] 某特大型中外合资经营化项目生产的产品中包括市场急需的聚丙烯产品,预测的目标市场价格为9000元/吨(含税),项目到目标市场运杂费为l00元/吨,在进行经济分析时,聚丙烯的影子价格为( )元/吨.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A.6800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B.8900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C.8900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D.9820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54[单选题] 20世纪60年代,市场营销教授麦卡锡提出了着名的4P组合理论,4P主要是指(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A.产品、价格、渠道和促销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B.产品、定位、渠道和公共关系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C.产品、价格、定位和促销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D.产品、价格、渠道和公共关系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55[单选题] 关于社会折现率的说法,错误的是(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A.社会折现率可用于直接调控投资规模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B.社会折现率的取值高低会影响项目的经济合理性判断的结果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C.对于永久性工程或者收益期超长的项目,社会折现率可适当降低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D.社会折现率可用于间接调控投资规模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56[单选题] 设固定资产原值为30000万元,综合折旧年限为10年,净残值率为5%,利用双倍余额递减法计算折旧,则第2年折旧额为( )万元.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A.4800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B.4663</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C.3075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D.2728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57[单选题] 投资项目的不同阶段存在的主要风险有所不同,政策风险和融资风险属于(  )阶段的风险.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A.项目运营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B.投资决策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C.可行性研究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D.项目实施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58[单选题] 下列国家经济安全的组成中,与投资项目最密切相关的是(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A.金融市场安全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B.国际收支安全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C.市场体系安全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D.国家产业安全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59[单选题] 下列费用中,(  )以分年的工程费用为计算基数.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A.基本预备费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B.生产准备费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C.联合试运转费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D.涨价预备费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60[单选题] 下列选项中.(  )以企业经营的全部产品或业务的组合为研究对象,分析企业相关经营业务之间的现金流量的平衡问题,寻求资源的最佳组合.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A.SWOT分析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B.通用矩阵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C.竞争态势矩阵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D.波士顿矩阵二、多项选择题(共35题,每题2分.每题的备选项中,有2个或2个以上符合题意,至少有1个错项.错选,本题不得分;少选,所选的每个选项得0.5分)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61[多选题] 德尔菲法是在( )的基础上发展起来的一种专家调查法,它广泛应用在市场预测、技术预测、方案比选、社会评价等众多领域.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A.头脑风暴法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B.专家个人判断法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C.交锋式会议法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D.混合式会议法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E.专家会议法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62[多选题] 生产工艺技术选择的原则包括(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A.先进性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B.安全性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C.经济合理性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D.耐久性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E.可靠性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63[多选题] 改、扩建项目要充分利用( )等,调整理顺现有总图布置,使其符合新老产品流程要求.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A.现有生产工艺要求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B.现有空地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C.现有建(构)筑物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D.现有仓储运输设施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E.现有地形、地势条件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64[多选题] 项目对优化经济结构及产业布局的影响不包括(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A.项目与区域发展战略和国家中长期发展规划的关联性及符合性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B.项目对当地技术进步及对三次产业结构调整的贡献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C.项目的投入产出可能导致当地供求关系失衡、引起物价波动.冲击当地经济发展等负面影响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D.项目对城市化空问布局的影响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E.项目的实施对政府部门财政收支状况的影响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65[多选题] 通过SWOT分析图进行企业战略选择的过程中,下列说法不正确的是(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A.企业拥有强大的内部优势和众多的机会,应采用多元化战略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B.企业尽管具有较大的内部优势,但面临严峻的外部挑战,应采用多元化战略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C.面临外部机会,但自身内部缺乏条件,应采取扭转性战略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D.改变企业内部的不利条件.应采用一体化战略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E.企业既面临外部威胁,自身条件也存在问题,应采取防御性战略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66[多选题] 问卷设计是问卷调查的关键之一,问卷设计应符合的原则有(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A.尽量避免使用不确定的、歧义性的、互相重叠和技术性过强的术语</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B.尽可能地避免导向性问题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C.注意问题的排序具有逻辑性和流畅性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D.问题的设计通常应由简单到复杂,从具体到一般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E.对于敏感性问题,应注意其提问时机和提出方式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67[多选题] 项目融资的成功需要良好的经济环境,包括(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A.合理的经济和产业政策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B.适当的经济发达程度和增长速度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C.健全的法律法规体系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D.合理的市场规范、资金流动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E.完善规范的市场机制、资本市场、银行体系、税务体系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68[多选题] 考察企业财务状况的比率指标有(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A.资产负债率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B.偿债备付率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C.速动比率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D.利息备付率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E.流动比率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69[多选题] 下列选项中属于建设方案比选要求的是(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A.符合国家及行业有关经济建设法规和技术政策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B.满足项目业主的发展战略和对项目的功能、盈利性等方面的要求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C.满足环境友好和可持续发展的要求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D.满足资源节约要求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E.满足技术先进、适用,且达到国际先进水平的要求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70[多选题] 可行性研究及其报告应达到的深度要求主要包括(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A.可行性研究阶段对投资和成本费用的估算应采用分项详细估算法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B.可行性研究中选用的主要设备的规格、参数应能满足预订货的要求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C.可行性研究中的重大技术、财务方案,至少应有3个以上方案的比选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D.可行性研究中确定的主要工程技术数据,应能满足项目初步设计的要求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E.可行性研究阶段对投资和产出的估算应采用分项详细估算法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71[多选题] 德尔菲法的程序主要包括(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A.建立预测工作组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B.输入历史统计数据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C.选择专家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D.汇总处理调查结果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E.组织调查实施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72[多选题] 项目申请报告的环境和生态影响分析内容包括(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A.生态环境保护措施分析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B.地质灾害影响分析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C.区域经济影响分析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D.环境和生态现状分析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E.特殊环境影响分析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73[多选题] 项目资本金财务内部收益率的基准参数应为项目资本金所有者整体的最低可接受收益率.其数值大小主要取决于(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A.利润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B.资金成本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D.通货膨胀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E.资本收益水平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74[多选题] 根据私营部门在项目中的参与程度,PPP项目可分为( )和私有化模式.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A.纵向合作关系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B.服务合同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C.合资公司</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D.特许权授予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E.租赁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75[多选题] 在经济分析中,往往需要采用特殊的方法测定政府调控价格的产品或服务的影子价格,包括(  )等.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A.成本分解法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B.实际价值计算法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C.机会成本法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D.消费者支付意愿法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E.受偿意愿法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76[多选题] 经济效益与费用估算原则主要包括(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A.支付意愿原则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B.机会成本原则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C.实际价值计算原则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D.差额价值原则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E.受偿意愿原则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77[多选题] 营业收入估算的具体要求包括(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A.合理确定运营负荷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B.合理确定产品或服务的价格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C.多种产品分别估算或合理折算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D.合理确定项目运营期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E.编制营业收入估算表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78[多选题] 进行参与式评价应坚持的原则有(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A.尊重每个人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B.尊重每个人以及每个群体的知识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C.站在当地人而不是外来者的角度看问题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D.理解当地不同人群所面临的困难、问题及需求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E.要公平、公正、公开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79[多选题] 投资项目经济评价中,内部收益率指标的缺点主要表现在(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A.不适用于只有现金流出的项目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B.容易受社会折现率取值的影响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C.非常规项目有多解现象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D.必须设定基准收益率才能计算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E.不适用于只有现金流入的项目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80[多选题] 节能方案评价中的主要能耗指标包括(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A.单位产品分品种能源消耗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B.综合能耗总量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C.单位产品综合能耗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D.项目产值综合能耗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E.按综合品种考核的实物总耗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81[多选题] 预测方法体系中,属于延伸性预测方法的是(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A.弹性系数法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B.移动平均法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C.指数平滑法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D.趋势外推法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E.消费系数法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82[多选题] 费用效果分析的基本程序包括(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A.拟订各种可以完成任务的方案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B.推荐最佳方案或提出优先采用的次序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C.识别和计算各方案的费用和效果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D.计算指标,综合比较,分析各方案的优缺点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E.对所选方案进行风险性分析并提出防范措施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83[多选题] 下列关于职业卫生对策与措施的表述,正确的有(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A.建立和完善职业卫生监督检查机制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B.加强从业人员的劳动保护,有效防止职业危害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C.工作场所职业危害告知率和警示标识设置率达到80%以上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D.可能产生职业病危害的建设项目需进行职业病危害预评价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E.强化对粉尘、毒物、放射性物质、腐蚀性物质等监测工作的监察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84[多选题] 项目的融资风险分析主要包括(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A.资金运用风险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B.项目控制风险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C.政策风险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D.资金供应风险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E.资金追加风险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85[多选题] 对既有法人项目的盈利能力分析要强调"有无对比",进行增量分析,可能涉及的数据包括(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A."现状"数据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B."无项目"数据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C."有项目"数据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D.新增数据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E.减量数据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86[多选题] 规避管理风险的主要措施包括(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A.合理设计项目的管理模式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B.选择适当的管理者</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C.调整信贷政策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D.完善规章制度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E.加强团队建设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87[多选题] 根据风险因素对投资项目影响程度的大小,采用风险评价矩阵方法,可将风险程度分为(  )、重大风险和微小风险五个等级.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A.无风险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B.较小风险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C.一般风险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D.较大风险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E.特大风险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88[多选题] 在融资中采用的信用保证方式主要包括(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A.第三方保证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B.财产抵押与质押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C.账户质押与账户监管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D.债权人承诺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E.政府支持函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89[多选题] 下列选项中关于市场需求对建设规模的影响的说法正确的是(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A.当产品的市场需求变化快,品种规格多时,应采用大、中规模战略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B.当产品的市场需求变化快,品种规格多时,应采用中、小规模战略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C.当产品适应性强,市场需求量大,品种规格变化较小时,可以采用大、中规模战略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D.当产品适应性强,市场需求量大,品种规格变化较多时,可以采用大、中规模战略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E.应重视关联产品或副产品的受制因素对建设规模的影响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90[多选题] 场(厂)址比较的主要内容包括(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A.建设条件比较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B.建设成本比较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C.社会影响比较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D.投资费用比较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E.安全条件比较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91[多选题] 产品方案需要在产品组合研究的基础上形成,首先需要确定项目的(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A.主要产品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B.产品目录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C.生产能力的合理组合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D.辅助产品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E.副产品的种类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92[多选题] 项目申请报告中的节能方案分析的内容主要包括(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A.用能标准和节能规范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B.资源利用方案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C.能耗状况和能耗指标分析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D.经济费用效益或费用效果分析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E.节能措施和节能效果分析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93[多选题] 高新技术项目有明显的社会经济效益,主要表现在( )等方面.</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A.可以提高国家的综合国力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B.有助于解决资源短缺、环境恶化等问题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C.有利于加速技术更新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D.有利于促进经济增长</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E.有助于解决社会基本矛盾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94[多选题] 矿产资源开发项目的资源条件评价中,矿产储量计算分析研究包括( )等的分析研究.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A.矿体外部特征要素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B.矿体圈定原则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C.矿体圈定方法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D.储量计算参数的确定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E.储量计算方法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95[多选题] 结构指标反映项目对经济结构的影响,主要包括( )等指标.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A.投资系数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B.项目对一次产业贡献率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C.项目对二次产业贡献率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D.项目对三次产业贡献率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E.影响力系数</w:t>
      </w:r>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4D3170E"/>
    <w:rsid w:val="05143071"/>
    <w:rsid w:val="09E86DDC"/>
    <w:rsid w:val="13067834"/>
    <w:rsid w:val="136E08FD"/>
    <w:rsid w:val="13B64CB0"/>
    <w:rsid w:val="15044216"/>
    <w:rsid w:val="185F309F"/>
    <w:rsid w:val="1EA1595C"/>
    <w:rsid w:val="20FC7D3A"/>
    <w:rsid w:val="32AD1A3A"/>
    <w:rsid w:val="3F0C4793"/>
    <w:rsid w:val="40155B3F"/>
    <w:rsid w:val="46DF64E2"/>
    <w:rsid w:val="46E96DF2"/>
    <w:rsid w:val="526D03D8"/>
    <w:rsid w:val="58911C72"/>
    <w:rsid w:val="5AF818D5"/>
    <w:rsid w:val="65864EBF"/>
    <w:rsid w:val="66206B31"/>
    <w:rsid w:val="685A6050"/>
    <w:rsid w:val="706163FA"/>
    <w:rsid w:val="72626E45"/>
    <w:rsid w:val="727953E5"/>
    <w:rsid w:val="727A2E67"/>
    <w:rsid w:val="780B49B6"/>
    <w:rsid w:val="7BA87002"/>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2017-03-21T04:13:19Z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