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2017年注册咨询工程师 模拟题《现代咨询方法与实务》测试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案例一: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某咨询企业接受了2个业务的咨询,一个是能填补市场空白的特种钢板加工项目,一个是科技领先性项目.其中,工业加工项目是属于核准范围的项目 ,该企业还准备接受 该项目的后评价的咨询任务.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在前期咨询时,市场需求预测拟分别采用回归模型作短期预测,弹性系数法作近期预测,指数平滑法作中期预测.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特种钢板加工项目运用一元线形回归对2010年的特种钢板需求作出了作出了点预测,2009年的特种钢板需求点预测结果是10万吨.并计算了Sy=0.9.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1、请说明2个项目的主要特点和发展思路?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2、市场预测准备采用的方法是否适当.需要历史数据少的是那个方法?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3、请问根据概率论3ɑ原则,置信度为95.4%的情况下,2010年的特种钢板需求预测区间是多少?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4、项目核准申请报告,重点阐述哪些内容?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5、该企业能否接受该项目的后评价业务?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6、后评价对项目评价的成功度为哪几级?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 填补市场空白型项目.项目投资效益的好坏关键在于市场.尤其是工业加工项目,只要产品需求大,生产成本低,就具备获利的基础.凡是能瞄准市场机会,利用市场空白,构思投资项目,生产经营符合市场需求的产品,就能获得理想的投资收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科技领先型项目.这类项目往往能取得明显超出市场平均利润水平的超额利润.正因为高额利润回报的诱导,促使人们不断研究应用新技术,开发新产品.因此,如果能够考虑潜在需求,组织人员攻关,研制技术领先的新产品,或者通过购买技术专利,开发新产品投放市场,则可望获取高技术附加值带来的高额利润回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2、可以回归模型作短期预测;弹性系数法不能做短期预测,可以作中长期预测;指数平滑法可以作近期或短期预测.需要数据较少的是指数平滑法.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3、预测区间是:(Y,-2Sy,Y,+2Sy),是8.2吨到11.8吨.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 报送项目核准机关的项目核准申请报告,重点阐述政府关注的有关外部性、公共性等事项,包括维护经济安全、合理开发利用资源、保护生态环境、优化重大布局、保障公众利益、防止出现垄断等.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5、不能接受.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6、项目评价的成功度可分为五个等级: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1)完全成功:项目各项目标已全面实现或超过;相对成本而言,项目取得巨大效益和影响.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2)基本成功:项目的大部分目标已经实现;相对成本而言,项目达到了预期的效益和影响.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3)部分成功:项目实现了原定的部分目标;相对成本而言,项目只取得了一定效益和影响.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4)不成功:项目实现的目标非常有限;相对成本而言,项目几乎没有产生正效益和影响.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5)失败:项目的目标是不现实的,无法实现;相对成本而言,项目不得不终止.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案例二: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某特大型中外合资经营石化项目生产的产品中包括市场急需的甲产品,经预测,在相当长的时期内,甲市场需求空间较大,项目的产出对市场价格影响不大,预测的目标市场价格为9000元/吨(含销项税),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在生产中需要乙,丙产品为原料,乙 产品 市场供应丰富,市场 含税价1170元/吨,不含税价1000元/吨. 丙产品市场紧张,经调查短期内难以充分供应,市场 含税价1170元/吨,不含税价1000元/吨.项目到目标市场运杂费为100元/吨.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该项目的可研中关于建设方案提出以下几条: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1、厂外配套工程中,为防止造成新的污染点,尽量不使用当地已有的条件和设施.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2、工厂维修设施是保证生产正常运转所不可缺少的配套工程,应尽量设置齐全,减少外协.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3、企业所用热源问题拟确定选择热源的次序为:余热利用热源,自建热源,当地集中供热设施热源富余能力,对集中热源进行改扩建.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4、对于工厂内的排水工程一般按照清污分流 的原则设置.对于饮用水,污水(含雨水,生活排污水)分开设置各系统和管道.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5、总图设计中,项目总用地面积10000平方米,其中行政办公用地3000平方米,生活服务设施用地5000平方米.请计算行政办公及生活服务设施用地所占比重指标,判断此布置是否合理?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6、投资强度计算公式采用:投资强度=项目固定资产总投资÷项目总建筑面积.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7、对于工厂建设,提出为了美化环境,征地和建设中要争取建造"花园式工厂".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8、对于征地和布置,提出要结合场地地形、地质、地貌等条件,因地制由于地价上涨较快,要求多征少用,保证预留发展用地.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1、在进行经济分析时,甲乙丙的影子价格应如何确定?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2、在以上可研中八条提法,请问是否正确,不正确的请改正.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甲产品采用含税(增值税销项税额)的市场价格为基础确定其出厂影子价格.该项目应该采用的 出厂影子价格为: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9000-100=8900(元/吨)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乙 产品市场供应丰富,用不含税价1000元/吨为影子价格.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1000-100=900(元/吨)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丙产品市场紧张,经调查短期内难以充分供应,用市场 含税价1170元/吨为影子价格.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1:不正确.正确的是:在配套工程中要符合环保,防止造成新的污染点,但同时应充分利用当地已有的条件和设施,以及生产协作条件,力求减少工程量,节省投资;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2:不正确. 正确的是:工厂维修设施一般应在保证主要生产设备完好和正常生产的前提下,力求减少规模,有外协条件的尽量争取外协.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3:不正确, 正确的是:企业所用热源一般包括余热回收利用形成的热源、集中热源(如集中供热电厂、公用工程岛热源)、企业自备热源.热源选择受区域集中供热、生产装置余热回收利用、燃料供应等影响.选择热源的次序为:余热利用热源,当地集中供热设施热源富余能力,对集中热源进行改扩建, 自建热源.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4:不正确.排水工程一般按照清污分流,分质排放的原则设置.对于饮用水,污水(生活排污水),雨水都应分开设置各系统和管道.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5:此布置不合理.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行政办公及生活服务设施用地所占比重=行政办公、生活服务设施占用土地面积÷项目总用地面积×100%=(3000+5000)/10000=8%.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此布置不合理.按有关规定 工业项目所需行政办公及生活服务设施用地面积不得超过工业项目总用地面积的7%.所以此布置不合理.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6:不正确.投资强度是指项目用地范围内单位面积固定资产投资额.计算公式为: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投资强度=项目固定资产总投资÷项目总用地面积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式中:项目固定资产总投资包括厂房、设备和地价款、相关税费,按万元计.项目总用地面积按公顷(万㎡)计.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7:不正确.工业项目绿化应按照国土资源部《工业项目建设用地控制指标(试行)》规定,严格控制厂区绿化率;用地范围内不得建造"花园式工厂";同时工厂的绿地率应符合有关标准和规范.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8:不正确.对于征地和布置, 要结合场地地形、地质、地貌等条件,因地制宜并尽可能做到紧凑布置,最大限度地节约用地.做到近期相对集中,远期预留合理.对发展目标不确定的项目,其布置应有一定的弹性,近期建设要集中,避免过多过早占用土地,避免多征少用,早征迟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案例三: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咨询单位刚刚成立,需要进行一系列营销活动,最终明确市场定位.先期进行了市场调查,内容包括经济环境调查、社会人文环境调查和市场容量调查等.并拟对咨询他人员进行风险教育.通过公开招投标,咨询单位获得一个业务是填补市场空白的项目,该项目是外商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1.咨询服务可以采取哪些营销手段?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2.该单位进行的市场调查除了上述内容外,还应包括哪些调查内容?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3.请简述该单位的市场定位的步骤.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4、市场开拓中有关目标市场的选择包括哪些步骤?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5、针对咨询人员的风险管理策略有哪些?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6、填补市场空白的项目,在机会研究方面此类项目的投资效益好坏的关键是什么?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7、鉴别投资机会要从哪些方面鉴别?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8、该咨询企业编写了核准申请报告,主要包括申报单位及项目概况、发展规划、产业政策和行业准入分析,节能方案分析,建设用地、征地拆迁及移民安置分析,经济影响分析和社会影响分析等部分.请补充缺少部分.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1.营销手段可以采取:建立网站、争取客户推荐、广告宣传、专业出版物、保持良好的公共关系等.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2、该单位进行的市场调查除了上述内容外,还应包括政治法律环境调查和技术应用环境调查.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市场定位的步骤包括:①应确认咨询单位自身的竞争优势,主要是在资源条件、管理水平和知名度等方面;②通过对比分析目标市场上可能出现的竞争对手与本单位的优势和劣势,明确自己在目标市场的相对竞争优势;③通过一系列的营销活动,展示自己特有的竞争优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4、目标市场选择包括:①市场细分;②目标市场;③市场定位.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5、针对咨询人员的风险管理策略:1)强化合同履约意识.2)提高专业技能.3)投保职业责任保险.4)加强自身管理.5)提高职业道德素质.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6、填补市场空白的项目投资效益好坏的关键是市场.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7、(1)鉴别项目目标与企业规划目标的关联(2)鉴别投资机会是否能够发挥企业优势,具有可行性前景(3)符合企业现实情况.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8、核准申请报告还包括:资源开发及综合利用分析,节能方案分析2个部分.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案例四: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某招标项目采用基于咨洵单位资历的评价方法,评标委员会有6名人员,其中技术、经济等专家5名.技术难度较大,所以设定技术标的权重为 80%,商务标的权重为20%.技术标的评审分为三个主要部分,各以百分制计分,分项权重分别为:公司的资历和经验20%;完成任务采用的实施方案 40%;参与的关键人员配备40%.有A、B、C三家单位参加投标竞争,四位评委打分.其中三家单位的报价为120、125、100万元.各评委对三家公司的评分如下.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1.采用基于咨询单位资历的评价方法是否合理?简述合理或不合理的理由.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2.评标委员会的成员数量是否合理,如何修改?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3.写出评审的过程,最后选出中标候选人.(计算结果取2位小数)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解题思路:该题主要是考核应试者对咨询服务招投标的评标方法的应用,掌握什么项目适合什么方法;接下来按照技术标评审、商务标评审、综合评审的顺序计算得分,都是简单的加减乘除,计算比较简单;最后取分数最高者为中标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1.采用咨向单位资历的评价方法是不合理的,理由是:从资料中可以看出,该项目有一定技术难度,并且其中报价也有一定的参考价值,需要同时权衡质量和价格,因此应选择基于质量和费用的评标方法.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2.评标委员会的成员人数应该为5人以上的单数,其中:技术、经济等方面的专家不得少于总数的三分之二.所以,成员人数应为7人.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3.评标过程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(1)技术标的评审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分别计算评标委员会四位评委对A、D、C三家的评分: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A公司=[(90+85+80+75)/4]×20%+[(80+80+90+80)/4]×40%十[(70+75+80+70)]/4×40%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=82.5×20%+82.5×40%+73.75 ×40%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B公司=72.5×20%+76.25×40%+77.5×40%=76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c公司=81.25×20%+85×40%+78.75×40%=81.75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(1)商务标的评审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三家单位C的报价最低,取值为100分,则: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A公司商务标得分:(100/120)×100=83.33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D公司商务标得分:(100/125)×100=80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(3)综合得分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A公司:79×80%十83.33×20%=79.87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B公司:76×80%十80×20%=76.8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C公司:81.75×80%十100×20%=85.4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(4)根据上述得分,C公司得分最高,因此选择C公司为中标单位.</w:t>
      </w:r>
    </w:p>
    <w:p>
      <w:pPr>
        <w:numPr>
          <w:ilvl w:val="0"/>
          <w:numId w:val="0"/>
        </w:numPr>
        <w:rPr>
          <w:rFonts w:hint="eastAsia" w:ascii="宋体" w:hAnsi="宋体"/>
          <w:position w:val="6"/>
          <w:sz w:val="20"/>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85F309F"/>
    <w:rsid w:val="1EA1595C"/>
    <w:rsid w:val="20FC7D3A"/>
    <w:rsid w:val="32AD1A3A"/>
    <w:rsid w:val="40155B3F"/>
    <w:rsid w:val="46DF64E2"/>
    <w:rsid w:val="46E96DF2"/>
    <w:rsid w:val="526D03D8"/>
    <w:rsid w:val="5AF818D5"/>
    <w:rsid w:val="66206B31"/>
    <w:rsid w:val="685A6050"/>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2017-03-08T09:05:54Z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