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2017 咨询工程师 评价模拟题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1、关于环境影响评价中应用环境标准的原则的说法,正确的是(D)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A.国家环境标准优先于地方环境标准执行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B.国家环境标准是对地方环境标准的补充和完善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C.综合性排放标准与行业性排放标准不可交叉执行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D.应用环境质量标准时,应根据环境功能区进行分级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2、项目市场预测要解决的基本问题不包括项目的(D)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A.投资方向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B.产品方案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C.生产规模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D.工程方案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3、关于项目经济分析与财务分析的区别的说法,正确的是(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A.前者的计算期不能大于后者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B.前者采用影子价格,后者采用市场价格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C.前者只有营利性分析,后者还包括偿债能力分析与敏感性分析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D.前者采用社会平均收益率,后者采用财务基准收益率作为基准参数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4、下列费用中,属于工程费用的是(B).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A.建设期利息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B.设备购置费用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C.基本预备费用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D.工程建设其他费用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5、关于敏感性分析的说法,正确的是(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A.敏感性分析仅适用于财务分析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B.敏感程度表明了敏感因素发生的概率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C.敏感系数与不确定因素的变化率无关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D.多因素敏感性分析时对同时改变两个或两个以上因素的情况进行分析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6、关于项目融资主体的说法,正确的是(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A.既有项目法人不能组织融资活动并承担风险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B.新设项目法人不需要承担项目的融资责任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C.项目融资主体是承担融资风险的经济实体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D.项目融资主体只能是政府或民营公司</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7、下列费用中,构成进口货物到岸价的是(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A.进口关税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 外贸手续费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 银行财务费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 国外运输费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8、下列项目可行性研究的内容中,属于建设方案研究内容的是(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A.投资估算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B.融资计划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C.节能设备选择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D.费用效果分析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9、某公司有关市场数据见下,据此判断甲、乙两类产品分别属于(A)业务.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某公司2012年市场销售额数据表(单位.万元)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A.明星、金牛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B.瘦狗、金牛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C.明星、瘦狗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D.问题、明星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10、关于偿债能力分析指标的说法,正确的是(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A.利息备付率一般不宜低于3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B.所得税率提高将降低利息备付率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C.维持运营投资增加将提高偿债备付率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D.项目财务分析中通常按年末数据计算资产负债率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11、关于特殊投入物影子价格的说法,正确的是(B)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A.矿产资源按资源再生费用计算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B.劳动力的机会成本是影子工资的主要组成部分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C.青苗补偿费、地上附着物补偿费等属于土地机会成本费用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D.土地机会成本按其完全恢复费用得最大值计算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12、关于风险分析的说法,正确的是(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A.风险函数的两个基本变量是风险事件发生的概率和风险事件对项目目标的影响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B.风险分析的四个基本阶段是风险识别、风险定性分析、风险定量分析和确定风险等级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C.风险事件发生的概率与风险事件对项目的影响程度成正比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D.损失较小的风险事件均可定性为较小风险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13、某已建成项目规模为20万吨/年,生产装置投资5000万元,厂房投资1000万元,安装费用2000万元.现拟估算与其建设条件类似的规模为40万吨/年的同种产品的生产装置投资,较为适宜的估算方法是(B)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A.单位生产能力估算法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B.生产能力指数法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C.比例估算法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D.系数估算法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14、关于项目建设目标的说法,错误的是(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A.项目目标可以分为宏观目标和具体目标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B.提高生活质量属于项目宏观目标的内容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C.效益目标属于项目的具体目标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D.不同性质项目的宏观目标是相同的,但具体目标各有不同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某项目建设期0.5年,生产期15.5年且生产负荷均为100%,正常年经营成本15000万元,正常年流动资金按项目年经营成本的10%估算,流动资金自投产之时投入使用,各项流动资产和流动负债的最低周转天数均小于6个月,该项目计算期第一年(含半年建设期和半年生产期)的流动资金估算为( A)万元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A.750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B.1000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C.1500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D.3000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16、关于风险分析的说法,正确的是(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A.风险函数的两个基本变量是风险事件发生的概率和风险事件对项目目标的影响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B.风险分析的四个基本阶段是风险识别、风险定性分析、风险定量分析和确定风险等级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C.风险事件发生的概率与风险事件对项目的影响程度成正比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D.损失较小的风险事件均可定性为较小风险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17、关于市场预测中德尔菲法优点的说法,正确的是(D)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A.便于思想沟通交流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B.照顾少数人的意见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C.能消除组织者的主观影响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D.能解决历史资料不足的问题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18、项目决策过程可以依次分为(B)四个阶段.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A.项目设想、项目研究、项目设计和项目决策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B.信息收集、方案设计、方案评价和方案抉择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C.可行性研究、环境影响评价、申请报告和项目核准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D.前评价、中间评价、完工评价和后评价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19、关于资金时间价值的说法,错误的是(D).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A.资金的时间价值来自于资金运动过程中全社会劳动者新创造的价值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B.资金时间价值的存在表明不同时点时不同数额的资金可能具有相等的价值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C.没有通货膨胀时国债利率比公司债卷的利率更能反映资金的时间价值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D.单利计息比复利计息更加准确地反映出资金的时间价值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20、某项目组织5位专家进行产品修桥梁预测,预测数据见下表,则需求量预测的期望值是(B)万件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A.51.5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B.53.4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1、关于资金时间价值的说法,错误的是(D).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A.资金的时间价值来自于资金运动过程中全社会劳动者新创造的价值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B.资金时间价值的存在表明不同时点时不同数额的资金可能具有相等的价值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C.没有通货膨胀时国债利率比公司债卷的利率更能反映资金的时间价值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D.单利计息比复利计息更加准确地反映出资金的时间价值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2、某已建成项目规模为20万吨/年,生产装置投资5000万元,厂房投资1000万元,安装费用2000万元.现拟估算与其建设条件类似的规模为40万吨/年的同种产品的生产装置投资,较为适宜的估算方法是(B)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A.单位生产能力估算法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B.生产能力指数法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C.比例估算法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D.系数估算法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3、关于项目布局选址的说法,正确的是(B).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A.产业集中布局,会增加污染物治理的难度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B.产业集中布局,会提高资源综合利用水平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C.行业集聚,会加剧竞争,提高产品成本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D.形成集聚效应,会加剧竞争,提高产品成本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4、关于项目建设目标的说法,错误的是(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A.项目目标可以分为宏观目标和具体目标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B.提高生活质量属于项目宏观目标的内容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C.效益目标属于项目的具体目标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D.不同性质项目的宏观目标是相同的,但具体目标各有不同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5、项目决策过程可以依次分为(B)四个阶段.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A.项目设想、项目研究、项目设计和项目决策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B.信息收集、方案设计、方案评价和方案抉择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C.可行性研究、环境影响评价、申请报告和项目核准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D.前评价、中间评价、完工评价和后评价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6、关于项目经济分析与财务分析的区别的说法,正确的是(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A.前者的计算期不能大于后者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B.前者采用影子价格,后者采用市场价格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C.前者只有营利性分析,后者还包括偿债能力分析与敏感性分析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D.前者采用社会平均收益率,后者采用财务基准收益率作为基准参数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7、关于特殊投入物影子价格的说法,正确的是(B)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A.矿产资源按资源再生费用计算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B.劳动力的机会成本是影子工资的主要组成部分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C.青苗补偿费、地上附着物补偿费等属于土地机会成本费用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D.土地机会成本按其完全恢复费用得最大值计算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8、某企业现有甲、乙、丙三个独立的投资方案,当财务基准收益率为10%时,各方案的基本信息如下表所示.现在企业可用于投资的金额为700万元,如采用净现值法则相对较优的选择是(B).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[注.(P/A.10%.5)=3.7908;(A./P.10%.5=0.2638)]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A.甲方案+乙方案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B.甲方案+丙方案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C.乙方案+丙方案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D.甲方案+乙方案+丙方案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9、工程分析按对业主可能产生不利影响,却给保险公司带来获利机会,这种现象体现了风险的(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A.客观性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B.阶段性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C.相对性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D.多样性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10、项目热源通常来自于.①企业自建热源;②区域集中供热设施;③生产过程中的余热回收.通常情况下,恰当的选择顺序是(D)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A.①-③-②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B.①-②-③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C.③-①-②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D.③-②-①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11、关于风险概率的估算的说法,正确的是(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A.风险的客观概率可以根据历史统计数据推定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B.风险的客观概率不能用于完全可重复事件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C.基于专家经验推断出的概率是客观概率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D.主观概率估算是在有效数据充足时采用的方法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12、关于规划环境影响评价的说法,错误的是(C)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A.规划编制机关应当对环境影响评价文件的质量负责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B.编制综合性规划,应当编写环境影响篇章或者说明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C.专项规划草案审批后才能编制环境影响报告书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D.经过环境影响评价的规划所含的建设项目,其环境影响评价的内容可适当简化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某项目建设期0.5年,生产期15.5年且生产负荷均为100%,正常年经营成本15000万元,正常年流动资金按项目年经营成本的10%估算,流动资金自投产之时投入使用,各项流动资产和流动负债的最低周转天数均小于6个月,该项目计算期第一年(含半年建设期和半年生产期)的流动资金估算为( A)万元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A.750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B.1000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C.1500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D.3000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14、某设备出厂价格为500万元(含备品备件10万元),到厂汽车运输费用30万元,装卸费等杂费20万元(以上费用均为含税价格),则该设备的购置费为(B)万元(含税价格).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A.560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B.550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C.540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D.530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15、关于特殊投入物影子价格的说法,正确的是(B)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A.矿产资源按资源再生费用计算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B.劳动力的机会成本是影子工资的主要组成部分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C.青苗补偿费、地上附着物补偿费等属于土地机会成本费用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D.土地机会成本按其完全恢复费用得最大值计算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16、项目热源通常来自于.①企业自建热源;②区域集中供热设施;③生产过程中的余热回收.通常情况下,恰当的选择顺序是(D)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A.①-③-②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B.①-②-③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C.③-①-②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D.③-②-①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17、关于简单移动平均法的说法,正确的是(B)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A.简单移动平均法不属于平滑技术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B.简单移动平均法只能用于短期预测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C.简单移动平均法需合理确定加权权重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D.时期数n的选择不影响计算结果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18、关于项目经济影响分析的说法,错误的是(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A.对行业发展、区域经济或宏观经济影响明显的项目应进行经济分析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B.经济影响分析一般应论证项目的是否符合经济发展总体布局的要求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C.经济影响分析课采用影响力系数反映项目对经济结构的影响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D.经济影响分析不能采用评价人员主观判断的方法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19、关于项目市场调查工作内容的说法,正确的是(C).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A.市场调查内容应从项目运营的角度进行界定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B.市场供应调查需要确定市场潜在需求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C.需求增长速度是市场需求调查的内容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D.消费演变历史不是消费者条差的内容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20、关于财务基准收益率的说法,正确的是(B)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A.财务基准收益率可能低于资金成本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B.财务基准收益率应该大于资金的机会成本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C.不同项目的财务基准收益率应该一致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D.财务记住收益率不应该考虑通货膨胀因素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1、关于资金时间价值的说法,错误的是(D).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A.资金的时间价值来自于资金运动过程中全社会劳动者新创造的价值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B.资金时间价值的存在表明不同时点时不同数额的资金可能具有相等的价值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C.没有通货膨胀时国债利率比公司债卷的利率更能反映资金的时间价值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D.单利计息比复利计息更加准确地反映出资金的时间价值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2、某项目基本方案的财务内部收益里15%,以建设投资作为敏感因素进行敏感性分析,当建设投资分别增长和降低10%时,财务内部收益率分别是12%和17.5%,则项目财务内部收益率相对于建设投资的敏感度系数是(B)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A.-1.835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B.-2和-1.76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C.7.835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D.2和1.76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3、关于项目市场调查工作内容的说法,正确的是(C).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A.市场调查内容应从项目运营的角度进行界定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B.市场供应调查需要确定市场潜在需求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C.需求增长速度是市场需求调查的内容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D.消费演变历史不是消费者条差的内容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4、下列项目可行性研究的内容中,属于建设方案研究内容的是(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A.投资估算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B.融资计划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C.节能设备选择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D.费用效果分析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5、下列市场预测方法中,属于因果分析法的是(D)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A.移动平均法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B.趋势外推法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C.专家会议法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D.弹性系数法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6、关于建设期利息的说法,正确的是(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A.权益资金比例提高可能导致建设期利息降低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B.建设期利息的计算与分年度资金使用计划无关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C.当年能支付利息的债务资金应按复利计息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D.建设期利息的计算与年计息次数无关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某项目建设期0.5年,生产期15.5年且生产负荷均为100%,正常年经营成本15000万元,正常年流动资金按项目年经营成本的10%估算,流动资金自投产之时投入使用,各项流动资产和流动负债的最低周转天数均小于6个月,该项目计算期第一年(含半年建设期和半年生产期)的流动资金估算为( A)万元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A.750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B.1000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C.1500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D.3000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8、关于财务分析价格体系的说法,正确的是(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A.通常投资估算的基础为实价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B.实价考虑了相对价格变动和绝对价格变动的影响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C.如果采用基价,项目计算期内的价格水平可以不同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D.如果存在通货膨胀,则时价价格会高于相应的实价价格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9、下列费用中,属于工程费用的是(B).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A.建设期利息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B.设备购置费用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C.基本预备费用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D.工程建设其他费用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10、某项目组织5位专家进行产品修桥梁预测,预测数据见下表,则需求量预测的期望值是(B)万件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A.51.5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B.53.4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11、关于项目经济分析与财务分析的区别的说法,正确的是(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A.前者的计算期不能大于后者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B.前者采用影子价格,后者采用市场价格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C.前者只有营利性分析,后者还包括偿债能力分析与敏感性分析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D.前者采用社会平均收益率,后者采用财务基准收益率作为基准参数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12、关于项目用地合理性的说法,正确的是(B)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A.及时并足额支付土地补偿费的项目可以占用基本农田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B.经批准占用的耕地应异地补充数量和质量相应的耕地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C.征收农民集体所有的土地不需要异地移民安置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D.政府投资项目占用基本农田可不需要经过批准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13、关于风险概率的估算的说法,正确的是(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A.风险的客观概率可以根据历史统计数据推定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B.风险的客观概率不能用于完全可重复事件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C.基于专家经验推断出的概率是客观概率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D.主观概率估算是在有效数据充足时采用的方法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14、关于项目融资主体的说法,正确的是(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A.既有项目法人不能组织融资活动并承担风险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B.新设项目法人不需要承担项目的融资责任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C.项目融资主体是承担融资风险的经济实体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D.项目融资主体只能是政府或民营公司</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15、已知社会无风险投资收益率3.5%,市场投资组合预期收益率15%,某项目的投资风险系数1.5,则采用资本资产定价模型计算的该项目普通股资金成本为(C)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A.5.00%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B.19.25%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C.20.75%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D.21.75%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16、某已建成项目规模为20万吨/年,生产装置投资5000万元,厂房投资1000万元,安装费用2000万元.现拟估算与其建设条件类似的规模为40万吨/年的同种产品的生产装置投资,较为适宜的估算方法是(B)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A.单位生产能力估算法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B.生产能力指数法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C.比例估算法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D.系数估算法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17、关于资金时间价值的说法,错误的是(D).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A.资金的时间价值来自于资金运动过程中全社会劳动者新创造的价值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B.资金时间价值的存在表明不同时点时不同数额的资金可能具有相等的价值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C.没有通货膨胀时国债利率比公司债卷的利率更能反映资金的时间价值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D.单利计息比复利计息更加准确地反映出资金的时间价值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18、关于完全竞争行业特征的说法,正确的是(A.).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A.不存在进入和退出障碍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B.存在潜在的产品差异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C.信息不能完全获得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D.较高的行业集中度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19、关于项目经济分析与财务分析的区别的说法,正确的是(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A.前者的计算期不能大于后者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B.前者采用影子价格,后者采用市场价格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C.前者只有营利性分析,后者还包括偿债能力分析与敏感性分析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D.前者采用社会平均收益率,后者采用财务基准收益率作为基准参数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20、某已建成项目规模为20万吨/年,生产装置投资5000万元,厂房投资1000万元,安装费用2000万元.现拟估算与其建设条件类似的规模为40万吨/年的同种产品的生产装置投资,较为适宜的估算方法是(B)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A.单位生产能力估算法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B.生产能力指数法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C.比例估算法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D.系数估算法</w:t>
      </w:r>
    </w:p>
    <w:p>
      <w:pPr>
        <w:numPr>
          <w:ilvl w:val="0"/>
          <w:numId w:val="0"/>
        </w:numPr>
        <w:rPr>
          <w:rFonts w:hint="eastAsia" w:ascii="宋体" w:hAnsi="宋体"/>
          <w:position w:val="6"/>
          <w:sz w:val="20"/>
          <w:lang w:val="zh-CN" w:eastAsia="zh-CN"/>
        </w:rPr>
      </w:pP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36E08FD"/>
    <w:rsid w:val="15044216"/>
    <w:rsid w:val="185F309F"/>
    <w:rsid w:val="1EA1595C"/>
    <w:rsid w:val="20FC7D3A"/>
    <w:rsid w:val="32AD1A3A"/>
    <w:rsid w:val="3F0C4793"/>
    <w:rsid w:val="40155B3F"/>
    <w:rsid w:val="46DF64E2"/>
    <w:rsid w:val="46E96DF2"/>
    <w:rsid w:val="526D03D8"/>
    <w:rsid w:val="58911C72"/>
    <w:rsid w:val="5AF818D5"/>
    <w:rsid w:val="66206B31"/>
    <w:rsid w:val="685A6050"/>
    <w:rsid w:val="706163FA"/>
    <w:rsid w:val="72626E45"/>
    <w:rsid w:val="727953E5"/>
    <w:rsid w:val="727A2E67"/>
    <w:rsid w:val="7BA87002"/>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2017-03-08T09:12:03Z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