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2017咨询模拟题《项目决策分析与评价》测试卷一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1、下列关于设备来源方案的表述中不正确的是(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A.国内有制造能力、且有制造业绩的设备,国内采购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B.已经市场化、国内有制造能力的设备,同等条件国外优先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C.国内无制造经验的关键设备采用引进技术、合作制造方式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D.尚无制造业绩的新设备,通过招标确定开发研究企业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答案解析:本题考查的是设备来源方案.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2、安全条件论证在( )阶段可以以比较表的形式进行初步论证.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A.可行性研究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B.初步可行性研究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C.场(厂)址选择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D.投资机会研究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答案解析:本题考查的是场(厂)址比较的主要内容.第一段:(5)场(厂)值址的安全条件论证比较.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3、项目所需原材料的品种、质量和性能应依据( )来确定.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A.产品方案和建设规模方案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B.产品方案和物料消耗定额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C.产品方案和工艺技术方案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D.建设规模和工艺技术方案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答案解析:本题考查的是原材料供应分析.(1)原材料的品种、质量、性能分析.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4、某项目厂区占地面积为48000m2,建(构)筑物占地面积12000m2,露天堆场占地面积2400m2,道路及广场占地面积 16000m2,绿化面积2000m2,地上、地下工程管线占地面积3000m2,总建筑面积57600m2,固定资产总投资11040万元,行政办公、生活服务设施占用土地面积2400m2,则该项目的投资强度为( )万元/万m2.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A.2920.63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B.1916.67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C.2300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D.9200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答案解析:本题考查的是总图技术经济指标.投资强度=项目固定资产总投资÷项目总用地面积=11040÷4.8=2300(万元/万m2);注意:固定资产总投资的单位是万元,项目占地面积的单位是万平方米.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5、下列有关环境的法律法规中,( )标志着我国的环境影响评价制度发展到一个新阶段.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A.《中华人民共和国环境影响评价法》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B.《中华人民共和国环境保护法》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C.《中华人民共和国环境保护法(试行)》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D.《建设项目环境保护管理条例》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答案解析:本题考查的是环境影响评价管理.2003年实施的《中华人民共和国环境影响评价法》,用法律把环境影响评价从项目环境影响评价拓展到规划环境影响评价,标志着我国的环境影响评价制度发展到一个新阶段.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九寨沟是国家AAA级风景名胜区,旅游费用支出包括人均交通费500元、餐饮费200元、门票115元;旅行时间一般为3天,游客人均收入平均水平约80元/天;购买宣传资料、纪念品、摄影等费用约50元/人次.每年接待游客约225万人次,则其年旅游价值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A.183375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B.237375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C.248625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D.212625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环境经济评价方法.旅游价值=旅游费用支出+旅行时间价值+其他花费人均旅游费支出=500+200+115=815元;人均旅游时间价值=3×80=240元;人均其他花费=50元;人均旅游价值=815+240+50=1105元;年旅游价值=1105×225=248625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7、作为计算资本金基数的总投资由( )构成.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A.建设投资与流动资金之和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B.建设投资与建设期利息之和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C.固定资产投资与流动资金之和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D.固定资产投资与铺底流动资金之和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答案解析:本题考查的是项目总投资的不同内涵.在《国务院关于固定资产投资项目试行资本金制度的通知》中指出,"作为计算资本金基数的总投资,是指投资项目的固定资产投资与铺底流动资金之和".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某项目工艺设备及其安装费用估计为3500万元,厂房土建费用估计为700万元,参照类似项目的统计资料,设备投资系数为1.52,厂房土建投资系数为1.06,其他有关费用为540万元,用设备及厂房系数法估算该项目的建设投资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A.6062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B.6602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C.6636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D.7760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答案解析:本题考查的是系数估算法.根据设备及厂房系数法该项目的建设投资为:3500×1.52+700×1.06+540=6602(万元).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9、在项目建设投资简单估算法中,以设备购置费为基数进行的估算称为( )估算法.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A.指数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C.比例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答案解析:本题考查的是建设投资简单估算法.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10、下列投资项目工程建设其他费用中,与项目运营有关的是(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A.建设管理费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B.勘察设计费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C.工程保险费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D.联合试运转费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 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解析:本题考查的是工程建设其他费用估算.投资项目工程建设其他费用按内容可大体分为三类:第一类是建设用地费用;第二类是与项目建设有关费用;第三类是与项目运营有关的费用.其中与项目运营有关的费用有:专利及专有技术使用费、联合试运转费、生产准备费、办公及生活家具购置费.A.B及C均属于与项目建设有关费用,故不正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11.所得税税率33%,税前资金成本为6%,则税后资金成本为(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B.4.02%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C.4.5%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12.当社会无风险投资收益率3%,公司投资风险系数1.2,采用资本定价模型估算的普通股资金成本为13.8%.若公司投资风险系数为1,则估算的普通股资金成本应该等于(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C.13.8%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13.某项目各种融资金额占项目总融资金额的比例分别为:长期借款20%,短期借款20%,普通股60%,其相应的资金成本分别为:长期借款7%,短期借款4%,普通股8%,则项目的加权平均资金成本为(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B.6.5%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C.7%</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14.下列四项工作中,( )是财务评价最先开始的具体工作.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A.制财务报表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B.进行财务分析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C.预测财务现金流量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D.计算评价指标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15.下列不属于财务评价计算用数据和参数的是(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A.基准投资回收期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B.销售价格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C.折旧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D.汇率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16.进行国民经济评价应采用( )确定费用与效益.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B.政府定价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C.管制价格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D.影子价格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17.对于直接进出口的外贸货物,其影子价格计算公式正确的是(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A.直接进口产出物的影子价格=到岸价(CIF)×影子汇率+贸易费用+国内运杂费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B.直接出口产出物的影子价格=离岸价(FOB)×影子汇率+贸易费用+国内运杂费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C.直接进口投入物的影子价格=到岸价(CIF)×影子汇率+贸易费用+国内运杂费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D.直接出口投入物的影子价格=离岸价(FOB)×影子汇率-贸易费用-国内运杂费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18.下面关于影子汇率论述不正确的是(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A.影子汇率就是外汇的影子价格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B.影子汇率较高时有利于引进方案的评价结论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C.影子汇率反映了外汇的真实价值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D.影子汇率要通过影子汇率换算系数计算,我国目前取值1.08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 )是分析拟建项目对当地社会(或波及地区,乃至全社会)的影响和社会条件对项目的适用性和可接受程度,评价项目的社会可行性.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A.环境影响评价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B.国民经济评价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C.社会评价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D.财务评价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20.在项目的社会评价中,( )不属于社会影响分析的3个层次.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B.地区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C.企业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1.工程咨询公司风险管理人员的一般责任范围不包括(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A.处理安全事故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B.识别风险事故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C.制定风险财务对策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D.负责相关工程保险.职业责任保险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2.我国公民的作品着作权的保护期为作者终生及其死后(  )年.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B.75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3.下列各项属于工程咨询在管理方面的风险因素是(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A.技术规范复杂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B.雇主延迟付款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C.恶劣气候条件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D.后勤支持不力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4.项目监督有多种形式和规则,(环球网校房地产估价师频道为您整理)包括监督检查.项目稽察和(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A.贷款审查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B.资金核对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C.项目审计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D.造价测算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5.国际咨询工程师联合会的英文缩写为(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A.fidic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B.aia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C.ice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D.acec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6.按人月费单价法计算咨询费,不属于可报销费用的是(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A.国际与国内交通旅行费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B.通讯费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C.各种资料的编制.打印费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D.医疗费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7.在项目周期中,项目融资问题主要贯穿于(  )两个阶段.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A.项目策划和项目准备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B.项目策划和项目实施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C.项目准备和项目实施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D.项目实施和项目建成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8.中国工程咨询业的行业管理,包括行政性管理和(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A.财务性管理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B.技术性管理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C.资质性管理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D.自律性管理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9.宏观专题研究主要是指为(  )服务的咨询研究.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A.行业内部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B.投资决策层次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C.国际金融界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B.执行管理层次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10.对已用工艺技术和装备水平的先进性.适用性.经济性及安全性进行评价属于(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A.工艺技术评价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B.技术效果调查评价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C.项目评估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1.B2.C3.D4.C5.A6.D7.A8.D9.B10.B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11.工程咨询成果质量评审制度包括(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A.内部评审和外部评审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B.业主评审和承包商评审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C.项目评审和社会评审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D.业主评审和社会评审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12.在设计阶段,投资.质量.进度三者中,(  )最重要.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C.进度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D.投资和质量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13.质量控制点可分为A、B、C三级,C级为一般质量控制点,其质量由施工分包方检查确认,由(  )抽查.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A.总包方质检人员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B.监理工程师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C.质量经理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14.为了使施工单位了解设计意图,(  )要组织由设计单位和施工单位参加的设计交底和设计会审会议.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B.设计经理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C.质量经理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D.监理工程师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15.项目风险管理是一种项目(  )控制手段.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A.主动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B.被动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C.反馈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D.闭环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16.下列不属于风险管理计划制定依据的是(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A.项目许可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B.风险管理政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C.WBS</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D.范围说明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17.风险识别的基础在于(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A.对项目风险的分解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B.确认项目风险的存在及其性质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C.访谈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D.SWOT分析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18.定性风险分析主要任务是(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A.确定风险发生的可能性及其后果的严重性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B.确定风险发生的概率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C.项目风险总排队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D.风险后果评价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19.不能建立风险概率分布的方法是(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A.历史资料法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B.专家打分法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C.理论分布法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D.SWOT分析法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20.增加项目资源是风险应对计划制定的(  )方法.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A.避免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B.转移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C.缓解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D.接受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11.A 12.B 13.A 14.D 15.A 16.D 17.A 18.A 19.D 20.C</w:t>
      </w:r>
    </w:p>
    <w:p>
      <w:pPr>
        <w:numPr>
          <w:ilvl w:val="0"/>
          <w:numId w:val="0"/>
        </w:numPr>
        <w:rPr>
          <w:rFonts w:hint="eastAsia" w:ascii="宋体" w:hAnsi="宋体"/>
          <w:position w:val="6"/>
          <w:sz w:val="20"/>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85F309F"/>
    <w:rsid w:val="1EA1595C"/>
    <w:rsid w:val="20FC7D3A"/>
    <w:rsid w:val="32AD1A3A"/>
    <w:rsid w:val="40155B3F"/>
    <w:rsid w:val="46DF64E2"/>
    <w:rsid w:val="46E96DF2"/>
    <w:rsid w:val="526D03D8"/>
    <w:rsid w:val="58911C72"/>
    <w:rsid w:val="5AF818D5"/>
    <w:rsid w:val="66206B31"/>
    <w:rsid w:val="685A6050"/>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2017-03-08T09:06:46Z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