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color w:val="000000"/>
          <w:kern w:val="0"/>
          <w:sz w:val="32"/>
          <w:szCs w:val="32"/>
        </w:rPr>
      </w:pPr>
      <w:bookmarkStart w:id="0" w:name="_GoBack"/>
      <w:bookmarkEnd w:id="0"/>
      <w:r>
        <w:rPr>
          <w:rFonts w:eastAsia="黑体"/>
          <w:color w:val="000000"/>
          <w:kern w:val="0"/>
          <w:sz w:val="32"/>
          <w:szCs w:val="32"/>
        </w:rPr>
        <w:t>附件1</w:t>
      </w:r>
    </w:p>
    <w:p>
      <w:pPr>
        <w:widowControl/>
        <w:jc w:val="center"/>
        <w:rPr>
          <w:rFonts w:hint="default"/>
          <w:b/>
          <w:bCs/>
          <w:color w:val="000000"/>
          <w:kern w:val="0"/>
          <w:szCs w:val="21"/>
          <w:lang w:val="en-US"/>
        </w:rPr>
      </w:pPr>
      <w:r>
        <w:rPr>
          <w:rFonts w:hint="eastAsia" w:eastAsia="黑体"/>
          <w:b/>
          <w:bCs/>
          <w:color w:val="000000"/>
          <w:kern w:val="0"/>
          <w:sz w:val="32"/>
          <w:szCs w:val="32"/>
          <w:lang w:val="en-US" w:eastAsia="zh-CN"/>
        </w:rPr>
        <w:t>报考条件及相关事项</w:t>
      </w:r>
    </w:p>
    <w:tbl>
      <w:tblPr>
        <w:tblStyle w:val="6"/>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066"/>
        <w:gridCol w:w="658"/>
        <w:gridCol w:w="2614"/>
        <w:gridCol w:w="16"/>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0" w:type="dxa"/>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5354" w:type="dxa"/>
            <w:gridSpan w:val="4"/>
            <w:noWrap w:val="0"/>
            <w:vAlign w:val="center"/>
          </w:tcPr>
          <w:p>
            <w:pPr>
              <w:jc w:val="center"/>
              <w:rPr>
                <w:rFonts w:hint="eastAsia" w:eastAsia="黑体"/>
                <w:b/>
                <w:szCs w:val="21"/>
                <w:lang w:val="en-US" w:eastAsia="zh-CN"/>
              </w:rPr>
            </w:pPr>
            <w:r>
              <w:rPr>
                <w:rFonts w:hint="eastAsia" w:hAnsi="黑体" w:eastAsia="黑体"/>
                <w:b/>
                <w:szCs w:val="21"/>
                <w:lang w:val="en-US" w:eastAsia="zh-CN"/>
              </w:rPr>
              <w:t>所学</w:t>
            </w:r>
            <w:r>
              <w:rPr>
                <w:rFonts w:hAnsi="黑体" w:eastAsia="黑体"/>
                <w:b/>
                <w:szCs w:val="21"/>
              </w:rPr>
              <w:t>专业</w:t>
            </w:r>
            <w:r>
              <w:rPr>
                <w:rFonts w:hint="eastAsia" w:hAnsi="黑体" w:eastAsia="黑体"/>
                <w:b/>
                <w:szCs w:val="21"/>
                <w:lang w:eastAsia="zh-CN"/>
              </w:rPr>
              <w:t>、</w:t>
            </w:r>
            <w:r>
              <w:rPr>
                <w:rFonts w:hint="eastAsia" w:hAnsi="黑体" w:eastAsia="黑体"/>
                <w:b/>
                <w:szCs w:val="21"/>
                <w:lang w:val="en-US" w:eastAsia="zh-CN"/>
              </w:rPr>
              <w:t>职称、</w:t>
            </w:r>
            <w:r>
              <w:rPr>
                <w:rFonts w:hAnsi="黑体" w:eastAsia="黑体"/>
                <w:b/>
                <w:szCs w:val="21"/>
              </w:rPr>
              <w:t>学位或学历</w:t>
            </w:r>
          </w:p>
        </w:tc>
        <w:tc>
          <w:tcPr>
            <w:tcW w:w="4091" w:type="dxa"/>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restart"/>
            <w:shd w:val="clear" w:color="auto" w:fill="auto"/>
            <w:noWrap w:val="0"/>
            <w:vAlign w:val="top"/>
          </w:tcPr>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both"/>
              <w:rPr>
                <w:b/>
                <w:bCs/>
                <w:color w:val="000000"/>
                <w:kern w:val="0"/>
                <w:szCs w:val="21"/>
              </w:rPr>
            </w:pPr>
          </w:p>
          <w:p>
            <w:pPr>
              <w:jc w:val="center"/>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一</w:t>
            </w: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级</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册</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建</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筑</w:t>
            </w:r>
          </w:p>
          <w:p>
            <w:pPr>
              <w:jc w:val="center"/>
              <w:rPr>
                <w:b/>
                <w:szCs w:val="21"/>
              </w:rPr>
            </w:pPr>
            <w:r>
              <w:rPr>
                <w:rFonts w:hint="default" w:ascii="Calibri" w:hAnsi="黑体" w:eastAsia="黑体" w:cs="Times New Roman"/>
                <w:b/>
                <w:color w:val="000000"/>
                <w:position w:val="0"/>
                <w:sz w:val="21"/>
                <w:szCs w:val="21"/>
              </w:rPr>
              <w:t>师</w:t>
            </w:r>
          </w:p>
        </w:tc>
        <w:tc>
          <w:tcPr>
            <w:tcW w:w="5354" w:type="dxa"/>
            <w:gridSpan w:val="4"/>
            <w:noWrap w:val="0"/>
            <w:vAlign w:val="center"/>
          </w:tcPr>
          <w:p>
            <w:pPr>
              <w:widowControl/>
              <w:rPr>
                <w:color w:val="000000"/>
                <w:kern w:val="0"/>
                <w:szCs w:val="21"/>
              </w:rPr>
            </w:pPr>
            <w:r>
              <w:rPr>
                <w:rFonts w:hint="eastAsia"/>
                <w:color w:val="000000"/>
                <w:szCs w:val="21"/>
              </w:rPr>
              <w:t>取得建筑学硕士以上学位或者相近专业工学博士学位</w:t>
            </w:r>
          </w:p>
        </w:tc>
        <w:tc>
          <w:tcPr>
            <w:tcW w:w="4091" w:type="dxa"/>
            <w:noWrap w:val="0"/>
            <w:vAlign w:val="center"/>
          </w:tcPr>
          <w:p>
            <w:pPr>
              <w:widowControl/>
              <w:rPr>
                <w:color w:val="000000"/>
                <w:kern w:val="0"/>
                <w:szCs w:val="21"/>
              </w:rPr>
            </w:pPr>
            <w:r>
              <w:rPr>
                <w:rFonts w:hint="eastAsia"/>
                <w:color w:val="000000"/>
                <w:kern w:val="0"/>
                <w:szCs w:val="21"/>
              </w:rPr>
              <w:t>从事建筑设计或者相关业务2年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5354" w:type="dxa"/>
            <w:gridSpan w:val="4"/>
            <w:noWrap w:val="0"/>
            <w:vAlign w:val="center"/>
          </w:tcPr>
          <w:p>
            <w:pPr>
              <w:widowControl/>
              <w:rPr>
                <w:color w:val="000000"/>
                <w:kern w:val="0"/>
                <w:szCs w:val="21"/>
              </w:rPr>
            </w:pPr>
            <w:r>
              <w:rPr>
                <w:rFonts w:hint="eastAsia"/>
                <w:color w:val="000000"/>
                <w:kern w:val="0"/>
                <w:szCs w:val="21"/>
              </w:rPr>
              <w:t>取得建筑学学士学位或者相近专业工学硕士学位</w:t>
            </w:r>
          </w:p>
        </w:tc>
        <w:tc>
          <w:tcPr>
            <w:tcW w:w="4091" w:type="dxa"/>
            <w:noWrap w:val="0"/>
            <w:vAlign w:val="center"/>
          </w:tcPr>
          <w:p>
            <w:pPr>
              <w:widowControl/>
              <w:rPr>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20" w:type="dxa"/>
            <w:vMerge w:val="continue"/>
            <w:shd w:val="clear" w:color="auto" w:fill="auto"/>
            <w:noWrap w:val="0"/>
            <w:vAlign w:val="top"/>
          </w:tcPr>
          <w:p>
            <w:pPr>
              <w:rPr>
                <w:b/>
                <w:szCs w:val="21"/>
              </w:rPr>
            </w:pPr>
          </w:p>
        </w:tc>
        <w:tc>
          <w:tcPr>
            <w:tcW w:w="5354" w:type="dxa"/>
            <w:gridSpan w:val="4"/>
            <w:noWrap w:val="0"/>
            <w:vAlign w:val="center"/>
          </w:tcPr>
          <w:p>
            <w:pPr>
              <w:widowControl/>
              <w:rPr>
                <w:rFonts w:hint="default" w:eastAsia="宋体"/>
                <w:color w:val="000000"/>
                <w:kern w:val="0"/>
                <w:szCs w:val="21"/>
                <w:lang w:val="en-US" w:eastAsia="zh-CN"/>
              </w:rPr>
            </w:pPr>
            <w:r>
              <w:rPr>
                <w:rFonts w:hint="eastAsia"/>
                <w:color w:val="000000"/>
                <w:szCs w:val="21"/>
              </w:rPr>
              <w:t>具有建筑学专业大学本科毕业学历</w:t>
            </w:r>
            <w:r>
              <w:rPr>
                <w:rFonts w:hint="eastAsia"/>
                <w:color w:val="000000"/>
                <w:szCs w:val="21"/>
                <w:lang w:val="en-US" w:eastAsia="zh-CN"/>
              </w:rPr>
              <w:t>并取得学士学位</w:t>
            </w:r>
          </w:p>
        </w:tc>
        <w:tc>
          <w:tcPr>
            <w:tcW w:w="4091" w:type="dxa"/>
            <w:noWrap w:val="0"/>
            <w:vAlign w:val="center"/>
          </w:tcPr>
          <w:p>
            <w:pPr>
              <w:widowControl/>
              <w:rPr>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5</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5354" w:type="dxa"/>
            <w:gridSpan w:val="4"/>
            <w:noWrap w:val="0"/>
            <w:vAlign w:val="center"/>
          </w:tcPr>
          <w:p>
            <w:pPr>
              <w:widowControl/>
              <w:rPr>
                <w:rFonts w:hint="eastAsia" w:eastAsia="宋体"/>
                <w:b w:val="0"/>
                <w:bCs w:val="0"/>
                <w:color w:val="000000"/>
                <w:kern w:val="0"/>
                <w:szCs w:val="21"/>
                <w:lang w:val="en-US" w:eastAsia="zh-CN"/>
              </w:rPr>
            </w:pPr>
            <w:r>
              <w:rPr>
                <w:rFonts w:hint="eastAsia" w:eastAsia="宋体"/>
                <w:b w:val="0"/>
                <w:bCs w:val="0"/>
                <w:color w:val="000000"/>
                <w:kern w:val="0"/>
                <w:szCs w:val="21"/>
                <w:lang w:val="en-US" w:eastAsia="zh-CN"/>
              </w:rPr>
              <w:t>具有建筑学相近专业大学本科毕业学历</w:t>
            </w:r>
            <w:r>
              <w:rPr>
                <w:rFonts w:hint="eastAsia"/>
                <w:b w:val="0"/>
                <w:bCs w:val="0"/>
                <w:color w:val="000000"/>
                <w:kern w:val="0"/>
                <w:szCs w:val="21"/>
                <w:lang w:val="en-US" w:eastAsia="zh-CN"/>
              </w:rPr>
              <w:t>并</w:t>
            </w:r>
            <w:r>
              <w:rPr>
                <w:rFonts w:hint="eastAsia"/>
                <w:color w:val="000000"/>
                <w:szCs w:val="21"/>
                <w:lang w:val="en-US" w:eastAsia="zh-CN"/>
              </w:rPr>
              <w:t>取得学士学位</w:t>
            </w:r>
          </w:p>
        </w:tc>
        <w:tc>
          <w:tcPr>
            <w:tcW w:w="4091" w:type="dxa"/>
            <w:noWrap w:val="0"/>
            <w:vAlign w:val="center"/>
          </w:tcPr>
          <w:p>
            <w:pPr>
              <w:widowControl/>
              <w:rPr>
                <w:b/>
                <w:bCs/>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7</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20" w:type="dxa"/>
            <w:vMerge w:val="continue"/>
            <w:shd w:val="clear" w:color="auto" w:fill="auto"/>
            <w:noWrap w:val="0"/>
            <w:vAlign w:val="top"/>
          </w:tcPr>
          <w:p>
            <w:pPr>
              <w:rPr>
                <w:b/>
                <w:szCs w:val="21"/>
              </w:rPr>
            </w:pPr>
          </w:p>
        </w:tc>
        <w:tc>
          <w:tcPr>
            <w:tcW w:w="5354" w:type="dxa"/>
            <w:gridSpan w:val="4"/>
            <w:noWrap w:val="0"/>
            <w:vAlign w:val="center"/>
          </w:tcPr>
          <w:p>
            <w:pPr>
              <w:widowControl/>
              <w:rPr>
                <w:b/>
                <w:bCs/>
                <w:color w:val="000000"/>
                <w:kern w:val="0"/>
                <w:szCs w:val="21"/>
              </w:rPr>
            </w:pPr>
            <w:r>
              <w:rPr>
                <w:rFonts w:hint="eastAsia"/>
                <w:b w:val="0"/>
                <w:bCs w:val="0"/>
                <w:color w:val="000000"/>
                <w:kern w:val="0"/>
                <w:szCs w:val="21"/>
              </w:rPr>
              <w:t>取得高级工程师技术职称</w:t>
            </w:r>
            <w:r>
              <w:rPr>
                <w:rFonts w:hint="eastAsia"/>
                <w:b w:val="0"/>
                <w:bCs w:val="0"/>
                <w:color w:val="000000"/>
                <w:kern w:val="0"/>
                <w:szCs w:val="21"/>
                <w:lang w:val="en-US" w:eastAsia="zh-CN"/>
              </w:rPr>
              <w:t>并具有</w:t>
            </w:r>
            <w:r>
              <w:rPr>
                <w:rFonts w:hint="eastAsia"/>
                <w:color w:val="000000"/>
                <w:szCs w:val="21"/>
                <w:lang w:val="en-US" w:eastAsia="zh-CN"/>
              </w:rPr>
              <w:t>学士学位</w:t>
            </w:r>
          </w:p>
        </w:tc>
        <w:tc>
          <w:tcPr>
            <w:tcW w:w="4091" w:type="dxa"/>
            <w:noWrap w:val="0"/>
            <w:vAlign w:val="center"/>
          </w:tcPr>
          <w:p>
            <w:pPr>
              <w:widowControl/>
              <w:rPr>
                <w:b/>
                <w:bCs/>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5354" w:type="dxa"/>
            <w:gridSpan w:val="4"/>
            <w:noWrap w:val="0"/>
            <w:vAlign w:val="center"/>
          </w:tcPr>
          <w:p>
            <w:pPr>
              <w:widowControl/>
              <w:rPr>
                <w:rFonts w:hint="default" w:eastAsia="宋体"/>
                <w:szCs w:val="21"/>
                <w:lang w:val="en-US" w:eastAsia="zh-CN"/>
              </w:rPr>
            </w:pPr>
            <w:r>
              <w:rPr>
                <w:rFonts w:hint="eastAsia"/>
                <w:szCs w:val="21"/>
                <w:lang w:val="en-US" w:eastAsia="zh-CN"/>
              </w:rPr>
              <w:t>取得工程师技术职称</w:t>
            </w:r>
            <w:r>
              <w:rPr>
                <w:rFonts w:hint="eastAsia"/>
                <w:color w:val="000000"/>
                <w:szCs w:val="21"/>
                <w:lang w:val="en-US" w:eastAsia="zh-CN"/>
              </w:rPr>
              <w:t>并具有学士学位</w:t>
            </w:r>
          </w:p>
        </w:tc>
        <w:tc>
          <w:tcPr>
            <w:tcW w:w="4091" w:type="dxa"/>
            <w:noWrap w:val="0"/>
            <w:vAlign w:val="center"/>
          </w:tcPr>
          <w:p>
            <w:pPr>
              <w:widowControl/>
              <w:rPr>
                <w:szCs w:val="21"/>
              </w:rPr>
            </w:pPr>
            <w:r>
              <w:rPr>
                <w:rFonts w:hint="eastAsia"/>
                <w:color w:val="000000"/>
                <w:kern w:val="0"/>
                <w:szCs w:val="21"/>
              </w:rPr>
              <w:t>从事建筑设计或者相关业务</w:t>
            </w:r>
            <w:r>
              <w:rPr>
                <w:rFonts w:hint="eastAsia"/>
                <w:color w:val="000000"/>
                <w:kern w:val="0"/>
                <w:szCs w:val="21"/>
                <w:lang w:val="en-US" w:eastAsia="zh-CN"/>
              </w:rPr>
              <w:t>5</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9445" w:type="dxa"/>
            <w:gridSpan w:val="5"/>
            <w:noWrap w:val="0"/>
            <w:vAlign w:val="center"/>
          </w:tcPr>
          <w:p>
            <w:pPr>
              <w:widowControl/>
              <w:rPr>
                <w:rFonts w:hint="default" w:eastAsia="宋体"/>
                <w:color w:val="000000"/>
                <w:kern w:val="0"/>
                <w:szCs w:val="21"/>
                <w:lang w:val="en-US" w:eastAsia="zh-CN"/>
              </w:rPr>
            </w:pPr>
            <w:r>
              <w:rPr>
                <w:rFonts w:hint="eastAsia"/>
                <w:color w:val="000000"/>
                <w:kern w:val="0"/>
                <w:szCs w:val="21"/>
              </w:rPr>
              <w:t>不</w:t>
            </w:r>
            <w:r>
              <w:rPr>
                <w:rFonts w:hint="eastAsia"/>
                <w:color w:val="000000"/>
                <w:kern w:val="0"/>
                <w:szCs w:val="21"/>
                <w:lang w:val="en-US" w:eastAsia="zh-CN"/>
              </w:rPr>
              <w:t>具备上述</w:t>
            </w:r>
            <w:r>
              <w:rPr>
                <w:rFonts w:hint="eastAsia"/>
                <w:color w:val="000000"/>
                <w:kern w:val="0"/>
                <w:szCs w:val="21"/>
              </w:rPr>
              <w:t>条件，但设计成绩突出，经全国注册建筑师管理委员会认定达到</w:t>
            </w:r>
            <w:r>
              <w:rPr>
                <w:rFonts w:hint="eastAsia"/>
                <w:color w:val="000000"/>
                <w:kern w:val="0"/>
                <w:szCs w:val="21"/>
                <w:lang w:val="en-US" w:eastAsia="zh-CN"/>
              </w:rPr>
              <w:t>上述条件</w:t>
            </w:r>
            <w:r>
              <w:rPr>
                <w:rFonts w:hint="eastAsia"/>
                <w:color w:val="000000"/>
                <w:kern w:val="0"/>
                <w:szCs w:val="21"/>
              </w:rPr>
              <w:t>规定的专业水平</w:t>
            </w:r>
            <w:r>
              <w:rPr>
                <w:rFonts w:hint="eastAsia"/>
                <w:color w:val="000000"/>
                <w:kern w:val="0"/>
                <w:szCs w:val="21"/>
                <w:lang w:val="en-US" w:eastAsia="zh-CN"/>
              </w:rPr>
              <w:t>并具有学士学位的。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jc w:val="center"/>
        </w:trPr>
        <w:tc>
          <w:tcPr>
            <w:tcW w:w="920" w:type="dxa"/>
            <w:vMerge w:val="continue"/>
            <w:shd w:val="clear" w:color="auto" w:fill="auto"/>
            <w:noWrap w:val="0"/>
            <w:vAlign w:val="top"/>
          </w:tcPr>
          <w:p>
            <w:pPr>
              <w:rPr>
                <w:b/>
                <w:szCs w:val="21"/>
              </w:rPr>
            </w:pPr>
          </w:p>
        </w:tc>
        <w:tc>
          <w:tcPr>
            <w:tcW w:w="9445" w:type="dxa"/>
            <w:gridSpan w:val="5"/>
            <w:noWrap w:val="0"/>
            <w:vAlign w:val="center"/>
          </w:tcPr>
          <w:p>
            <w:pPr>
              <w:widowControl/>
              <w:rPr>
                <w:rFonts w:hint="eastAsia"/>
                <w:color w:val="000000"/>
                <w:kern w:val="0"/>
                <w:szCs w:val="21"/>
              </w:rPr>
            </w:pPr>
            <w:r>
              <w:rPr>
                <w:rFonts w:hint="eastAsia"/>
                <w:color w:val="000000"/>
                <w:kern w:val="0"/>
                <w:szCs w:val="21"/>
              </w:rPr>
              <w:t>按照一级注册建筑师职业实践标准，申请报考人员应完成不少于700个单元的职业实践训练。报考人员应准备全国注册建筑师管理委员会统一印制或个人下载打印的《一级注册建筑师职业实践登记手册》，以供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0" w:hRule="exact"/>
          <w:jc w:val="center"/>
        </w:trPr>
        <w:tc>
          <w:tcPr>
            <w:tcW w:w="920" w:type="dxa"/>
            <w:vMerge w:val="continue"/>
            <w:shd w:val="clear" w:color="auto" w:fill="auto"/>
            <w:noWrap w:val="0"/>
            <w:vAlign w:val="top"/>
          </w:tcPr>
          <w:p>
            <w:pPr>
              <w:rPr>
                <w:b/>
                <w:szCs w:val="21"/>
              </w:rPr>
            </w:pPr>
          </w:p>
        </w:tc>
        <w:tc>
          <w:tcPr>
            <w:tcW w:w="9445" w:type="dxa"/>
            <w:gridSpan w:val="5"/>
            <w:noWrap w:val="0"/>
            <w:vAlign w:val="center"/>
          </w:tcPr>
          <w:p>
            <w:pPr>
              <w:numPr>
                <w:ilvl w:val="0"/>
                <w:numId w:val="0"/>
              </w:numPr>
              <w:ind w:firstLine="420" w:firstLineChars="200"/>
              <w:rPr>
                <w:rFonts w:hint="eastAsia"/>
                <w:szCs w:val="21"/>
                <w:lang w:val="en-US" w:eastAsia="zh-CN"/>
              </w:rPr>
            </w:pPr>
          </w:p>
          <w:p>
            <w:pPr>
              <w:numPr>
                <w:ilvl w:val="0"/>
                <w:numId w:val="0"/>
              </w:numPr>
              <w:ind w:firstLine="420" w:firstLineChars="200"/>
              <w:rPr>
                <w:rFonts w:hint="eastAsia"/>
                <w:szCs w:val="21"/>
                <w:lang w:val="en-US" w:eastAsia="zh-CN"/>
              </w:rPr>
            </w:pPr>
          </w:p>
          <w:p>
            <w:pPr>
              <w:numPr>
                <w:ilvl w:val="0"/>
                <w:numId w:val="0"/>
              </w:numPr>
              <w:ind w:firstLine="420" w:firstLineChars="200"/>
              <w:rPr>
                <w:rFonts w:hint="eastAsia"/>
                <w:szCs w:val="21"/>
                <w:lang w:eastAsia="zh-CN"/>
              </w:rPr>
            </w:pPr>
            <w:r>
              <w:rPr>
                <w:rFonts w:hint="eastAsia"/>
                <w:szCs w:val="21"/>
                <w:lang w:val="en-US" w:eastAsia="zh-CN"/>
              </w:rPr>
              <w:t>1、一</w:t>
            </w:r>
            <w:r>
              <w:rPr>
                <w:rFonts w:hint="eastAsia"/>
                <w:szCs w:val="21"/>
              </w:rPr>
              <w:t>级注册建筑师资格考试报考条件过渡办法</w:t>
            </w:r>
            <w:r>
              <w:rPr>
                <w:rFonts w:hint="eastAsia"/>
                <w:szCs w:val="21"/>
                <w:lang w:eastAsia="zh-CN"/>
              </w:rPr>
              <w:t>：国务院于2019年4月对《中华人民共和国注册建筑师条例》（以下简称“《建筑师条例》”）进行了修订，在一级注册建筑师资格考试的报名条件中，增加了学士学位的要求。为维护广大考生切身利益，确保新《建筑师条例》在一级注册建筑师资格考试中顺利实施，2020年起采取“老人老办法、新人新办法”的过渡方案，做好新、老考生报考衔接工作，即：自2020年度考试开始，首次报考全国一级注册建筑师资格考试的应试人员视为“新考生”，报考条件按新《建筑师条例》执行；2020年前报考全国一级注册建筑师资格考试且在成绩滚动期内存在有效成绩（存在合格科目）的应试人员视为“老考生”，报考条件按原《建筑师条例》执行，在成绩滚动期内没有获得有效成绩（不存在合格科目）的应试人员应按新《建筑师条例》执行。今后，凡是在滚动期内无有效成绩的“老考生”，报考时按新《建筑师条例》执行。</w:t>
            </w:r>
          </w:p>
          <w:p>
            <w:pPr>
              <w:numPr>
                <w:ilvl w:val="0"/>
                <w:numId w:val="0"/>
              </w:numPr>
              <w:ind w:firstLine="420" w:firstLineChars="200"/>
              <w:rPr>
                <w:rFonts w:hint="eastAsia"/>
                <w:szCs w:val="21"/>
                <w:lang w:eastAsia="zh-CN"/>
              </w:rPr>
            </w:pPr>
            <w:r>
              <w:rPr>
                <w:rFonts w:hint="eastAsia"/>
                <w:szCs w:val="21"/>
                <w:lang w:val="en-US" w:eastAsia="zh-CN"/>
              </w:rPr>
              <w:t>2、</w:t>
            </w:r>
            <w:r>
              <w:rPr>
                <w:rFonts w:hint="eastAsia"/>
                <w:szCs w:val="21"/>
                <w:lang w:eastAsia="zh-CN"/>
              </w:rPr>
              <w:t>一级注册建筑师考试内容包括：建筑设计前期工作、场地设计、建筑设计与表达、建筑结构、环境控制、建筑设备、建筑材料与构造、建筑经济、施工与设计业务管理、建筑法规等。上述内容分成若干科目进行考试。科目考试合格有效期为八年。</w:t>
            </w:r>
          </w:p>
          <w:p>
            <w:pPr>
              <w:numPr>
                <w:ilvl w:val="0"/>
                <w:numId w:val="0"/>
              </w:numPr>
              <w:ind w:firstLine="420" w:firstLineChars="200"/>
              <w:rPr>
                <w:rFonts w:hint="default"/>
                <w:szCs w:val="21"/>
                <w:lang w:val="en-US" w:eastAsia="zh-CN"/>
              </w:rPr>
            </w:pPr>
            <w:r>
              <w:rPr>
                <w:rFonts w:hint="eastAsia"/>
                <w:szCs w:val="21"/>
                <w:lang w:val="en-US" w:eastAsia="zh-CN"/>
              </w:rPr>
              <w:t>3、全国一、二级注册建筑师资格考试报考专业说明见附件5</w:t>
            </w:r>
            <w:r>
              <w:rPr>
                <w:rFonts w:hint="eastAsia"/>
                <w:szCs w:val="21"/>
                <w:lang w:eastAsia="zh-CN"/>
              </w:rPr>
              <w:t>。</w:t>
            </w: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20" w:type="dxa"/>
            <w:tcBorders>
              <w:bottom w:val="single" w:color="auto" w:sz="4" w:space="0"/>
            </w:tcBorders>
            <w:noWrap w:val="0"/>
            <w:vAlign w:val="center"/>
          </w:tcPr>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考试</w:t>
            </w:r>
          </w:p>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类别</w:t>
            </w:r>
          </w:p>
        </w:tc>
        <w:tc>
          <w:tcPr>
            <w:tcW w:w="2066" w:type="dxa"/>
            <w:tcBorders>
              <w:bottom w:val="single" w:color="auto" w:sz="4" w:space="0"/>
            </w:tcBorders>
            <w:noWrap w:val="0"/>
            <w:vAlign w:val="center"/>
          </w:tcPr>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所学专业</w:t>
            </w:r>
          </w:p>
        </w:tc>
        <w:tc>
          <w:tcPr>
            <w:tcW w:w="3272" w:type="dxa"/>
            <w:gridSpan w:val="2"/>
            <w:tcBorders>
              <w:bottom w:val="single" w:color="auto" w:sz="4" w:space="0"/>
            </w:tcBorders>
            <w:noWrap w:val="0"/>
            <w:vAlign w:val="center"/>
          </w:tcPr>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学位或学历</w:t>
            </w:r>
          </w:p>
        </w:tc>
        <w:tc>
          <w:tcPr>
            <w:tcW w:w="4107" w:type="dxa"/>
            <w:gridSpan w:val="2"/>
            <w:tcBorders>
              <w:bottom w:val="single" w:color="auto" w:sz="4" w:space="0"/>
            </w:tcBorders>
            <w:noWrap w:val="0"/>
            <w:vAlign w:val="center"/>
          </w:tcPr>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取得学位或学历后</w:t>
            </w:r>
          </w:p>
          <w:p>
            <w:pPr>
              <w:widowControl w:val="0"/>
              <w:spacing w:line="280" w:lineRule="exact"/>
              <w:jc w:val="center"/>
              <w:rPr>
                <w:rFonts w:ascii="Times New Roman" w:hAnsi="Times New Roman" w:eastAsia="黑体" w:cs="Times New Roman"/>
                <w:b/>
                <w:bCs/>
                <w:color w:val="000000"/>
                <w:kern w:val="2"/>
                <w:sz w:val="21"/>
                <w:szCs w:val="21"/>
                <w:lang w:val="en-US" w:eastAsia="zh-CN" w:bidi="ar-SA"/>
              </w:rPr>
            </w:pPr>
            <w:r>
              <w:rPr>
                <w:rFonts w:ascii="Times New Roman" w:hAnsi="Times New Roman" w:eastAsia="黑体" w:cs="Times New Roman"/>
                <w:b/>
                <w:bCs/>
                <w:color w:val="000000"/>
                <w:kern w:val="2"/>
                <w:sz w:val="21"/>
                <w:szCs w:val="21"/>
                <w:lang w:val="en-US" w:eastAsia="zh-CN" w:bidi="ar-SA"/>
              </w:rPr>
              <w:t>从事建筑设计的最少时间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restart"/>
            <w:noWrap w:val="0"/>
            <w:vAlign w:val="center"/>
          </w:tcPr>
          <w:p>
            <w:pPr>
              <w:jc w:val="both"/>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一</w:t>
            </w: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级</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册</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建</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筑</w:t>
            </w:r>
          </w:p>
          <w:p>
            <w:pPr>
              <w:spacing w:line="240" w:lineRule="exact"/>
              <w:jc w:val="center"/>
              <w:rPr>
                <w:rFonts w:hint="default" w:ascii="微软雅黑" w:hAnsi="微软雅黑" w:eastAsia="微软雅黑" w:cs="微软雅黑"/>
                <w:b/>
                <w:color w:val="000000"/>
                <w:position w:val="0"/>
                <w:sz w:val="21"/>
                <w:szCs w:val="21"/>
                <w:lang w:val="en-US" w:eastAsia="zh-CN"/>
              </w:rPr>
            </w:pPr>
            <w:r>
              <w:rPr>
                <w:rFonts w:hint="default" w:ascii="Calibri" w:hAnsi="黑体" w:eastAsia="黑体" w:cs="Times New Roman"/>
                <w:b/>
                <w:color w:val="000000"/>
                <w:position w:val="0"/>
                <w:sz w:val="21"/>
                <w:szCs w:val="21"/>
              </w:rPr>
              <w:t>师</w:t>
            </w:r>
          </w:p>
          <w:p>
            <w:pPr>
              <w:spacing w:line="240" w:lineRule="exact"/>
              <w:jc w:val="center"/>
              <w:rPr>
                <w:rFonts w:hint="eastAsia" w:ascii="微软雅黑" w:hAnsi="微软雅黑" w:eastAsia="微软雅黑" w:cs="微软雅黑"/>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w:t>
            </w:r>
          </w:p>
          <w:p>
            <w:pPr>
              <w:spacing w:line="240" w:lineRule="exact"/>
              <w:jc w:val="center"/>
              <w:rPr>
                <w:rFonts w:hint="eastAsia" w:ascii="微软雅黑" w:hAnsi="微软雅黑" w:eastAsia="微软雅黑" w:cs="微软雅黑"/>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原</w:t>
            </w:r>
          </w:p>
          <w:p>
            <w:pPr>
              <w:spacing w:line="240" w:lineRule="exact"/>
              <w:jc w:val="center"/>
              <w:rPr>
                <w:rFonts w:hint="eastAsia" w:ascii="微软雅黑" w:hAnsi="微软雅黑" w:eastAsia="微软雅黑" w:cs="微软雅黑"/>
                <w:b/>
                <w:color w:val="000000"/>
                <w:position w:val="0"/>
                <w:sz w:val="21"/>
                <w:szCs w:val="21"/>
                <w:lang w:val="en-US" w:eastAsia="zh-CN"/>
              </w:rPr>
            </w:pPr>
          </w:p>
          <w:p>
            <w:pPr>
              <w:spacing w:line="240" w:lineRule="exact"/>
              <w:jc w:val="center"/>
              <w:rPr>
                <w:rFonts w:hint="eastAsia" w:ascii="微软雅黑" w:hAnsi="微软雅黑" w:eastAsia="微软雅黑" w:cs="微软雅黑"/>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条</w:t>
            </w:r>
          </w:p>
          <w:p>
            <w:pPr>
              <w:spacing w:line="240" w:lineRule="exact"/>
              <w:jc w:val="center"/>
              <w:rPr>
                <w:rFonts w:hint="eastAsia" w:ascii="微软雅黑" w:hAnsi="微软雅黑" w:eastAsia="微软雅黑" w:cs="微软雅黑"/>
                <w:b/>
                <w:color w:val="000000"/>
                <w:position w:val="0"/>
                <w:sz w:val="21"/>
                <w:szCs w:val="21"/>
                <w:lang w:val="en-US" w:eastAsia="zh-CN"/>
              </w:rPr>
            </w:pPr>
          </w:p>
          <w:p>
            <w:pPr>
              <w:spacing w:line="240" w:lineRule="exact"/>
              <w:jc w:val="center"/>
              <w:rPr>
                <w:rFonts w:hint="eastAsia" w:ascii="微软雅黑" w:hAnsi="微软雅黑" w:eastAsia="微软雅黑" w:cs="微软雅黑"/>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件</w:t>
            </w:r>
          </w:p>
          <w:p>
            <w:pPr>
              <w:spacing w:line="240" w:lineRule="exact"/>
              <w:jc w:val="center"/>
              <w:rPr>
                <w:rFonts w:hint="default" w:ascii="微软雅黑" w:hAnsi="微软雅黑" w:eastAsia="微软雅黑" w:cs="微软雅黑"/>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w:t>
            </w:r>
          </w:p>
        </w:tc>
        <w:tc>
          <w:tcPr>
            <w:tcW w:w="2066" w:type="dxa"/>
            <w:vMerge w:val="restart"/>
            <w:noWrap w:val="0"/>
            <w:vAlign w:val="center"/>
          </w:tcPr>
          <w:p>
            <w:pPr>
              <w:widowControl/>
              <w:rPr>
                <w:color w:val="000000"/>
                <w:kern w:val="0"/>
                <w:szCs w:val="21"/>
              </w:rPr>
            </w:pPr>
            <w:r>
              <w:rPr>
                <w:color w:val="000000"/>
                <w:kern w:val="0"/>
                <w:szCs w:val="21"/>
              </w:rPr>
              <w:t>建筑学</w:t>
            </w:r>
          </w:p>
          <w:p>
            <w:pPr>
              <w:widowControl/>
              <w:rPr>
                <w:color w:val="000000"/>
                <w:kern w:val="0"/>
                <w:szCs w:val="21"/>
              </w:rPr>
            </w:pPr>
          </w:p>
          <w:p>
            <w:pPr>
              <w:rPr>
                <w:color w:val="000000"/>
                <w:kern w:val="0"/>
                <w:szCs w:val="21"/>
              </w:rPr>
            </w:pPr>
            <w:r>
              <w:rPr>
                <w:color w:val="000000"/>
                <w:kern w:val="0"/>
                <w:szCs w:val="21"/>
              </w:rPr>
              <w:t>建筑设计技术</w:t>
            </w:r>
          </w:p>
          <w:p>
            <w:pPr>
              <w:rPr>
                <w:color w:val="000000"/>
                <w:kern w:val="0"/>
                <w:szCs w:val="21"/>
              </w:rPr>
            </w:pPr>
            <w:r>
              <w:rPr>
                <w:color w:val="000000"/>
                <w:kern w:val="0"/>
                <w:szCs w:val="21"/>
              </w:rPr>
              <w:t>（原建筑设计）</w:t>
            </w:r>
          </w:p>
        </w:tc>
        <w:tc>
          <w:tcPr>
            <w:tcW w:w="658" w:type="dxa"/>
            <w:vMerge w:val="restart"/>
            <w:noWrap w:val="0"/>
            <w:vAlign w:val="center"/>
          </w:tcPr>
          <w:p>
            <w:pPr>
              <w:jc w:val="center"/>
              <w:rPr>
                <w:color w:val="000000"/>
                <w:kern w:val="0"/>
                <w:szCs w:val="21"/>
              </w:rPr>
            </w:pPr>
            <w:r>
              <w:rPr>
                <w:color w:val="000000"/>
                <w:kern w:val="0"/>
                <w:szCs w:val="21"/>
              </w:rPr>
              <w:t>本科及</w:t>
            </w:r>
          </w:p>
          <w:p>
            <w:pPr>
              <w:jc w:val="center"/>
              <w:rPr>
                <w:color w:val="000000"/>
                <w:kern w:val="0"/>
                <w:szCs w:val="21"/>
              </w:rPr>
            </w:pPr>
            <w:r>
              <w:rPr>
                <w:color w:val="000000"/>
                <w:kern w:val="0"/>
                <w:szCs w:val="21"/>
              </w:rPr>
              <w:t>以上</w:t>
            </w:r>
          </w:p>
        </w:tc>
        <w:tc>
          <w:tcPr>
            <w:tcW w:w="2614" w:type="dxa"/>
            <w:tcBorders>
              <w:bottom w:val="single" w:color="auto" w:sz="4" w:space="0"/>
            </w:tcBorders>
            <w:noWrap w:val="0"/>
            <w:vAlign w:val="center"/>
          </w:tcPr>
          <w:p>
            <w:pPr>
              <w:widowControl/>
              <w:rPr>
                <w:color w:val="000000"/>
                <w:kern w:val="0"/>
                <w:szCs w:val="21"/>
              </w:rPr>
            </w:pPr>
            <w:r>
              <w:rPr>
                <w:color w:val="000000"/>
                <w:kern w:val="0"/>
                <w:szCs w:val="21"/>
              </w:rPr>
              <w:t>建筑学硕士或以上毕业</w:t>
            </w:r>
          </w:p>
        </w:tc>
        <w:tc>
          <w:tcPr>
            <w:tcW w:w="4107" w:type="dxa"/>
            <w:gridSpan w:val="2"/>
            <w:tcBorders>
              <w:bottom w:val="single" w:color="auto" w:sz="4" w:space="0"/>
            </w:tcBorders>
            <w:noWrap w:val="0"/>
            <w:vAlign w:val="center"/>
          </w:tcPr>
          <w:p>
            <w:pPr>
              <w:widowControl/>
              <w:jc w:val="center"/>
              <w:rPr>
                <w:color w:val="000000"/>
                <w:kern w:val="0"/>
                <w:szCs w:val="21"/>
              </w:rPr>
            </w:pPr>
            <w:r>
              <w:rPr>
                <w:color w:val="000000"/>
                <w:kern w:val="0"/>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rPr>
                <w:color w:val="000000"/>
                <w:kern w:val="0"/>
                <w:szCs w:val="21"/>
              </w:rPr>
            </w:pPr>
          </w:p>
        </w:tc>
        <w:tc>
          <w:tcPr>
            <w:tcW w:w="658" w:type="dxa"/>
            <w:vMerge w:val="continue"/>
            <w:noWrap w:val="0"/>
            <w:vAlign w:val="center"/>
          </w:tcPr>
          <w:p>
            <w:pPr>
              <w:widowControl/>
              <w:jc w:val="center"/>
              <w:rPr>
                <w:color w:val="000000"/>
                <w:kern w:val="0"/>
                <w:szCs w:val="21"/>
              </w:rPr>
            </w:pPr>
          </w:p>
        </w:tc>
        <w:tc>
          <w:tcPr>
            <w:tcW w:w="2614" w:type="dxa"/>
            <w:noWrap w:val="0"/>
            <w:vAlign w:val="center"/>
          </w:tcPr>
          <w:p>
            <w:pPr>
              <w:widowControl/>
              <w:rPr>
                <w:color w:val="000000"/>
                <w:kern w:val="0"/>
                <w:szCs w:val="21"/>
              </w:rPr>
            </w:pPr>
            <w:r>
              <w:rPr>
                <w:color w:val="000000"/>
                <w:kern w:val="0"/>
                <w:szCs w:val="21"/>
              </w:rPr>
              <w:t>建筑学学士</w:t>
            </w:r>
          </w:p>
        </w:tc>
        <w:tc>
          <w:tcPr>
            <w:tcW w:w="4107" w:type="dxa"/>
            <w:gridSpan w:val="2"/>
            <w:noWrap w:val="0"/>
            <w:vAlign w:val="center"/>
          </w:tcPr>
          <w:p>
            <w:pPr>
              <w:widowControl/>
              <w:jc w:val="center"/>
              <w:rPr>
                <w:color w:val="000000"/>
                <w:kern w:val="0"/>
                <w:szCs w:val="21"/>
              </w:rPr>
            </w:pPr>
            <w:r>
              <w:rPr>
                <w:color w:val="000000"/>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rPr>
                <w:color w:val="000000"/>
                <w:kern w:val="0"/>
                <w:szCs w:val="21"/>
              </w:rPr>
            </w:pPr>
          </w:p>
        </w:tc>
        <w:tc>
          <w:tcPr>
            <w:tcW w:w="658" w:type="dxa"/>
            <w:vMerge w:val="continue"/>
            <w:noWrap w:val="0"/>
            <w:vAlign w:val="center"/>
          </w:tcPr>
          <w:p>
            <w:pPr>
              <w:widowControl w:val="0"/>
              <w:jc w:val="center"/>
              <w:rPr>
                <w:rFonts w:ascii="Times New Roman" w:hAnsi="Times New Roman" w:eastAsia="宋体" w:cs="Times New Roman"/>
                <w:bCs/>
                <w:color w:val="000000"/>
                <w:kern w:val="2"/>
                <w:sz w:val="21"/>
                <w:szCs w:val="21"/>
                <w:lang w:val="en-US" w:eastAsia="zh-CN" w:bidi="ar-SA"/>
              </w:rPr>
            </w:pPr>
          </w:p>
        </w:tc>
        <w:tc>
          <w:tcPr>
            <w:tcW w:w="2614" w:type="dxa"/>
            <w:tcBorders>
              <w:bottom w:val="single" w:color="auto" w:sz="4" w:space="0"/>
            </w:tcBorders>
            <w:noWrap w:val="0"/>
            <w:vAlign w:val="center"/>
          </w:tcPr>
          <w:p>
            <w:pPr>
              <w:widowControl/>
              <w:rPr>
                <w:color w:val="000000"/>
                <w:kern w:val="0"/>
                <w:szCs w:val="21"/>
              </w:rPr>
            </w:pPr>
            <w:r>
              <w:rPr>
                <w:color w:val="000000"/>
                <w:kern w:val="0"/>
                <w:szCs w:val="21"/>
              </w:rPr>
              <w:t>五年制工学士或毕业</w:t>
            </w:r>
          </w:p>
        </w:tc>
        <w:tc>
          <w:tcPr>
            <w:tcW w:w="4107" w:type="dxa"/>
            <w:gridSpan w:val="2"/>
            <w:tcBorders>
              <w:bottom w:val="single" w:color="auto" w:sz="4" w:space="0"/>
            </w:tcBorders>
            <w:noWrap w:val="0"/>
            <w:vAlign w:val="center"/>
          </w:tcPr>
          <w:p>
            <w:pPr>
              <w:widowControl/>
              <w:jc w:val="center"/>
              <w:rPr>
                <w:color w:val="000000"/>
                <w:kern w:val="0"/>
                <w:szCs w:val="21"/>
              </w:rPr>
            </w:pPr>
            <w:r>
              <w:rPr>
                <w:color w:val="000000"/>
                <w:kern w:val="0"/>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rPr>
                <w:color w:val="000000"/>
                <w:kern w:val="0"/>
                <w:szCs w:val="21"/>
              </w:rPr>
            </w:pPr>
          </w:p>
        </w:tc>
        <w:tc>
          <w:tcPr>
            <w:tcW w:w="658" w:type="dxa"/>
            <w:vMerge w:val="continue"/>
            <w:noWrap w:val="0"/>
            <w:vAlign w:val="center"/>
          </w:tcPr>
          <w:p>
            <w:pPr>
              <w:widowControl w:val="0"/>
              <w:jc w:val="center"/>
              <w:rPr>
                <w:rFonts w:ascii="Times New Roman" w:hAnsi="Times New Roman" w:eastAsia="宋体" w:cs="Times New Roman"/>
                <w:bCs/>
                <w:color w:val="000000"/>
                <w:kern w:val="2"/>
                <w:sz w:val="21"/>
                <w:szCs w:val="21"/>
                <w:lang w:val="en-US" w:eastAsia="zh-CN" w:bidi="ar-SA"/>
              </w:rPr>
            </w:pPr>
          </w:p>
        </w:tc>
        <w:tc>
          <w:tcPr>
            <w:tcW w:w="2614" w:type="dxa"/>
            <w:noWrap w:val="0"/>
            <w:vAlign w:val="center"/>
          </w:tcPr>
          <w:p>
            <w:pPr>
              <w:widowControl/>
              <w:rPr>
                <w:color w:val="000000"/>
                <w:kern w:val="0"/>
                <w:szCs w:val="21"/>
              </w:rPr>
            </w:pPr>
            <w:r>
              <w:rPr>
                <w:color w:val="000000"/>
                <w:kern w:val="0"/>
                <w:szCs w:val="21"/>
              </w:rPr>
              <w:t>四年制工学士或毕业</w:t>
            </w:r>
          </w:p>
        </w:tc>
        <w:tc>
          <w:tcPr>
            <w:tcW w:w="4107" w:type="dxa"/>
            <w:gridSpan w:val="2"/>
            <w:noWrap w:val="0"/>
            <w:vAlign w:val="center"/>
          </w:tcPr>
          <w:p>
            <w:pPr>
              <w:widowControl/>
              <w:jc w:val="center"/>
              <w:rPr>
                <w:color w:val="000000"/>
                <w:kern w:val="0"/>
                <w:szCs w:val="21"/>
              </w:rPr>
            </w:pPr>
            <w:r>
              <w:rPr>
                <w:color w:val="000000"/>
                <w:kern w:val="0"/>
                <w:szCs w:val="21"/>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rPr>
                <w:color w:val="000000"/>
                <w:kern w:val="0"/>
                <w:szCs w:val="21"/>
              </w:rPr>
            </w:pPr>
          </w:p>
        </w:tc>
        <w:tc>
          <w:tcPr>
            <w:tcW w:w="658" w:type="dxa"/>
            <w:vMerge w:val="restart"/>
            <w:noWrap w:val="0"/>
            <w:vAlign w:val="center"/>
          </w:tcPr>
          <w:p>
            <w:pPr>
              <w:widowControl/>
              <w:jc w:val="center"/>
              <w:rPr>
                <w:color w:val="000000"/>
                <w:kern w:val="0"/>
                <w:szCs w:val="21"/>
              </w:rPr>
            </w:pPr>
            <w:r>
              <w:rPr>
                <w:color w:val="000000"/>
                <w:kern w:val="0"/>
                <w:szCs w:val="21"/>
              </w:rPr>
              <w:t>专科</w:t>
            </w:r>
          </w:p>
        </w:tc>
        <w:tc>
          <w:tcPr>
            <w:tcW w:w="2614" w:type="dxa"/>
            <w:tcBorders>
              <w:bottom w:val="single" w:color="auto" w:sz="4" w:space="0"/>
            </w:tcBorders>
            <w:noWrap w:val="0"/>
            <w:vAlign w:val="center"/>
          </w:tcPr>
          <w:p>
            <w:pPr>
              <w:widowControl/>
              <w:rPr>
                <w:color w:val="000000"/>
                <w:kern w:val="0"/>
                <w:szCs w:val="21"/>
              </w:rPr>
            </w:pPr>
            <w:r>
              <w:rPr>
                <w:color w:val="000000"/>
                <w:kern w:val="0"/>
                <w:szCs w:val="21"/>
              </w:rPr>
              <w:t>三年制毕业</w:t>
            </w:r>
          </w:p>
        </w:tc>
        <w:tc>
          <w:tcPr>
            <w:tcW w:w="4107" w:type="dxa"/>
            <w:gridSpan w:val="2"/>
            <w:tcBorders>
              <w:bottom w:val="single" w:color="auto" w:sz="4" w:space="0"/>
            </w:tcBorders>
            <w:noWrap w:val="0"/>
            <w:vAlign w:val="center"/>
          </w:tcPr>
          <w:p>
            <w:pPr>
              <w:widowControl/>
              <w:jc w:val="center"/>
              <w:rPr>
                <w:color w:val="000000"/>
                <w:kern w:val="0"/>
                <w:szCs w:val="21"/>
              </w:rPr>
            </w:pPr>
            <w:r>
              <w:rPr>
                <w:color w:val="000000"/>
                <w:kern w:val="0"/>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tcBorders>
              <w:bottom w:val="single" w:color="auto" w:sz="4" w:space="0"/>
            </w:tcBorders>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tcBorders>
              <w:bottom w:val="single" w:color="auto" w:sz="4" w:space="0"/>
            </w:tcBorders>
            <w:noWrap w:val="0"/>
            <w:vAlign w:val="center"/>
          </w:tcPr>
          <w:p>
            <w:pPr>
              <w:widowControl w:val="0"/>
              <w:jc w:val="center"/>
              <w:rPr>
                <w:rFonts w:ascii="Times New Roman" w:hAnsi="Times New Roman" w:eastAsia="宋体" w:cs="Times New Roman"/>
                <w:bCs/>
                <w:color w:val="000000"/>
                <w:kern w:val="2"/>
                <w:sz w:val="21"/>
                <w:szCs w:val="21"/>
                <w:lang w:val="en-US" w:eastAsia="zh-CN" w:bidi="ar-SA"/>
              </w:rPr>
            </w:pPr>
          </w:p>
        </w:tc>
        <w:tc>
          <w:tcPr>
            <w:tcW w:w="2614" w:type="dxa"/>
            <w:tcBorders>
              <w:bottom w:val="single" w:color="auto" w:sz="4" w:space="0"/>
            </w:tcBorders>
            <w:noWrap w:val="0"/>
            <w:vAlign w:val="center"/>
          </w:tcPr>
          <w:p>
            <w:pPr>
              <w:widowControl/>
              <w:rPr>
                <w:color w:val="000000"/>
                <w:kern w:val="0"/>
                <w:szCs w:val="21"/>
              </w:rPr>
            </w:pPr>
            <w:r>
              <w:rPr>
                <w:color w:val="000000"/>
                <w:kern w:val="0"/>
                <w:szCs w:val="21"/>
              </w:rPr>
              <w:t>二年制毕业</w:t>
            </w:r>
          </w:p>
        </w:tc>
        <w:tc>
          <w:tcPr>
            <w:tcW w:w="4107" w:type="dxa"/>
            <w:gridSpan w:val="2"/>
            <w:tcBorders>
              <w:bottom w:val="single" w:color="auto" w:sz="4" w:space="0"/>
            </w:tcBorders>
            <w:noWrap w:val="0"/>
            <w:vAlign w:val="center"/>
          </w:tcPr>
          <w:p>
            <w:pPr>
              <w:widowControl/>
              <w:jc w:val="center"/>
              <w:rPr>
                <w:color w:val="000000"/>
                <w:kern w:val="0"/>
                <w:szCs w:val="21"/>
              </w:rPr>
            </w:pPr>
            <w:r>
              <w:rPr>
                <w:color w:val="000000"/>
                <w:kern w:val="0"/>
                <w:szCs w:val="21"/>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restart"/>
            <w:noWrap w:val="0"/>
            <w:vAlign w:val="center"/>
          </w:tcPr>
          <w:p>
            <w:pPr>
              <w:widowControl/>
              <w:rPr>
                <w:b/>
                <w:bCs/>
                <w:color w:val="000000"/>
                <w:szCs w:val="21"/>
              </w:rPr>
            </w:pPr>
            <w:r>
              <w:rPr>
                <w:color w:val="000000"/>
                <w:kern w:val="0"/>
                <w:szCs w:val="21"/>
              </w:rPr>
              <w:t>相近专业</w:t>
            </w:r>
          </w:p>
        </w:tc>
        <w:tc>
          <w:tcPr>
            <w:tcW w:w="658" w:type="dxa"/>
            <w:vMerge w:val="restart"/>
            <w:noWrap w:val="0"/>
            <w:vAlign w:val="center"/>
          </w:tcPr>
          <w:p>
            <w:pPr>
              <w:widowControl/>
              <w:jc w:val="center"/>
              <w:rPr>
                <w:color w:val="000000"/>
                <w:kern w:val="0"/>
                <w:szCs w:val="21"/>
              </w:rPr>
            </w:pPr>
            <w:r>
              <w:rPr>
                <w:color w:val="000000"/>
                <w:kern w:val="0"/>
                <w:szCs w:val="21"/>
              </w:rPr>
              <w:t>本科及</w:t>
            </w:r>
          </w:p>
          <w:p>
            <w:pPr>
              <w:widowControl/>
              <w:jc w:val="center"/>
              <w:rPr>
                <w:color w:val="000000"/>
                <w:kern w:val="0"/>
                <w:szCs w:val="21"/>
              </w:rPr>
            </w:pPr>
            <w:r>
              <w:rPr>
                <w:color w:val="000000"/>
                <w:kern w:val="0"/>
                <w:szCs w:val="21"/>
              </w:rPr>
              <w:t>以上</w:t>
            </w:r>
          </w:p>
        </w:tc>
        <w:tc>
          <w:tcPr>
            <w:tcW w:w="2614" w:type="dxa"/>
            <w:noWrap w:val="0"/>
            <w:vAlign w:val="center"/>
          </w:tcPr>
          <w:p>
            <w:pPr>
              <w:widowControl/>
              <w:rPr>
                <w:color w:val="000000"/>
                <w:kern w:val="0"/>
                <w:szCs w:val="21"/>
              </w:rPr>
            </w:pPr>
            <w:r>
              <w:rPr>
                <w:color w:val="000000"/>
                <w:kern w:val="0"/>
                <w:szCs w:val="21"/>
              </w:rPr>
              <w:t>工学博士</w:t>
            </w:r>
          </w:p>
        </w:tc>
        <w:tc>
          <w:tcPr>
            <w:tcW w:w="4107" w:type="dxa"/>
            <w:gridSpan w:val="2"/>
            <w:noWrap w:val="0"/>
            <w:vAlign w:val="center"/>
          </w:tcPr>
          <w:p>
            <w:pPr>
              <w:widowControl/>
              <w:jc w:val="center"/>
              <w:rPr>
                <w:color w:val="000000"/>
                <w:kern w:val="0"/>
                <w:szCs w:val="21"/>
              </w:rPr>
            </w:pPr>
            <w:r>
              <w:rPr>
                <w:color w:val="000000"/>
                <w:kern w:val="0"/>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center"/>
              <w:rPr>
                <w:color w:val="000000"/>
                <w:kern w:val="0"/>
                <w:szCs w:val="21"/>
              </w:rPr>
            </w:pPr>
          </w:p>
        </w:tc>
        <w:tc>
          <w:tcPr>
            <w:tcW w:w="2614" w:type="dxa"/>
            <w:noWrap w:val="0"/>
            <w:vAlign w:val="center"/>
          </w:tcPr>
          <w:p>
            <w:pPr>
              <w:widowControl/>
              <w:rPr>
                <w:color w:val="000000"/>
                <w:kern w:val="0"/>
                <w:szCs w:val="21"/>
              </w:rPr>
            </w:pPr>
            <w:r>
              <w:rPr>
                <w:color w:val="000000"/>
                <w:kern w:val="0"/>
                <w:szCs w:val="21"/>
              </w:rPr>
              <w:t>工学硕士或研究生毕业</w:t>
            </w:r>
          </w:p>
        </w:tc>
        <w:tc>
          <w:tcPr>
            <w:tcW w:w="4107" w:type="dxa"/>
            <w:gridSpan w:val="2"/>
            <w:noWrap w:val="0"/>
            <w:vAlign w:val="center"/>
          </w:tcPr>
          <w:p>
            <w:pPr>
              <w:widowControl/>
              <w:jc w:val="center"/>
              <w:rPr>
                <w:color w:val="000000"/>
                <w:kern w:val="0"/>
                <w:szCs w:val="21"/>
              </w:rPr>
            </w:pPr>
            <w:r>
              <w:rPr>
                <w:color w:val="000000"/>
                <w:kern w:val="0"/>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center"/>
              <w:rPr>
                <w:color w:val="000000"/>
                <w:kern w:val="0"/>
                <w:szCs w:val="21"/>
              </w:rPr>
            </w:pPr>
          </w:p>
        </w:tc>
        <w:tc>
          <w:tcPr>
            <w:tcW w:w="2614" w:type="dxa"/>
            <w:noWrap w:val="0"/>
            <w:vAlign w:val="center"/>
          </w:tcPr>
          <w:p>
            <w:pPr>
              <w:widowControl/>
              <w:rPr>
                <w:color w:val="000000"/>
                <w:kern w:val="0"/>
                <w:szCs w:val="21"/>
              </w:rPr>
            </w:pPr>
            <w:r>
              <w:rPr>
                <w:color w:val="000000"/>
                <w:kern w:val="0"/>
                <w:szCs w:val="21"/>
              </w:rPr>
              <w:t>五年制工学士或毕业</w:t>
            </w:r>
          </w:p>
        </w:tc>
        <w:tc>
          <w:tcPr>
            <w:tcW w:w="4107" w:type="dxa"/>
            <w:gridSpan w:val="2"/>
            <w:noWrap w:val="0"/>
            <w:vAlign w:val="center"/>
          </w:tcPr>
          <w:p>
            <w:pPr>
              <w:widowControl/>
              <w:jc w:val="center"/>
              <w:rPr>
                <w:color w:val="000000"/>
                <w:kern w:val="0"/>
                <w:szCs w:val="21"/>
              </w:rPr>
            </w:pPr>
            <w:r>
              <w:rPr>
                <w:color w:val="000000"/>
                <w:kern w:val="0"/>
                <w:szCs w:val="21"/>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center"/>
              <w:rPr>
                <w:color w:val="000000"/>
                <w:kern w:val="0"/>
                <w:szCs w:val="21"/>
              </w:rPr>
            </w:pPr>
          </w:p>
        </w:tc>
        <w:tc>
          <w:tcPr>
            <w:tcW w:w="2614" w:type="dxa"/>
            <w:noWrap w:val="0"/>
            <w:vAlign w:val="center"/>
          </w:tcPr>
          <w:p>
            <w:pPr>
              <w:widowControl/>
              <w:rPr>
                <w:color w:val="000000"/>
                <w:kern w:val="0"/>
                <w:szCs w:val="21"/>
              </w:rPr>
            </w:pPr>
            <w:r>
              <w:rPr>
                <w:color w:val="000000"/>
                <w:kern w:val="0"/>
                <w:szCs w:val="21"/>
              </w:rPr>
              <w:t>四年制工学士或毕业</w:t>
            </w:r>
          </w:p>
        </w:tc>
        <w:tc>
          <w:tcPr>
            <w:tcW w:w="4107" w:type="dxa"/>
            <w:gridSpan w:val="2"/>
            <w:noWrap w:val="0"/>
            <w:vAlign w:val="center"/>
          </w:tcPr>
          <w:p>
            <w:pPr>
              <w:widowControl/>
              <w:jc w:val="center"/>
              <w:rPr>
                <w:color w:val="000000"/>
                <w:kern w:val="0"/>
                <w:szCs w:val="21"/>
              </w:rPr>
            </w:pPr>
            <w:r>
              <w:rPr>
                <w:color w:val="000000"/>
                <w:kern w:val="0"/>
                <w:szCs w:val="21"/>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restart"/>
            <w:noWrap w:val="0"/>
            <w:vAlign w:val="center"/>
          </w:tcPr>
          <w:p>
            <w:pPr>
              <w:widowControl/>
              <w:jc w:val="center"/>
              <w:rPr>
                <w:color w:val="000000"/>
                <w:kern w:val="0"/>
                <w:szCs w:val="21"/>
              </w:rPr>
            </w:pPr>
            <w:r>
              <w:rPr>
                <w:color w:val="000000"/>
                <w:kern w:val="0"/>
                <w:szCs w:val="21"/>
              </w:rPr>
              <w:t>专科</w:t>
            </w:r>
          </w:p>
        </w:tc>
        <w:tc>
          <w:tcPr>
            <w:tcW w:w="2614" w:type="dxa"/>
            <w:noWrap w:val="0"/>
            <w:vAlign w:val="center"/>
          </w:tcPr>
          <w:p>
            <w:pPr>
              <w:widowControl/>
              <w:rPr>
                <w:color w:val="000000"/>
                <w:kern w:val="0"/>
                <w:szCs w:val="21"/>
              </w:rPr>
            </w:pPr>
            <w:r>
              <w:rPr>
                <w:color w:val="000000"/>
                <w:kern w:val="0"/>
                <w:szCs w:val="21"/>
              </w:rPr>
              <w:t>三年制毕业</w:t>
            </w:r>
          </w:p>
        </w:tc>
        <w:tc>
          <w:tcPr>
            <w:tcW w:w="4107" w:type="dxa"/>
            <w:gridSpan w:val="2"/>
            <w:noWrap w:val="0"/>
            <w:vAlign w:val="center"/>
          </w:tcPr>
          <w:p>
            <w:pPr>
              <w:widowControl/>
              <w:jc w:val="center"/>
              <w:rPr>
                <w:color w:val="000000"/>
                <w:kern w:val="0"/>
                <w:szCs w:val="21"/>
              </w:rPr>
            </w:pPr>
            <w:r>
              <w:rPr>
                <w:color w:val="000000"/>
                <w:kern w:val="0"/>
                <w:szCs w:val="21"/>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center"/>
              <w:rPr>
                <w:color w:val="000000"/>
                <w:kern w:val="0"/>
                <w:szCs w:val="21"/>
              </w:rPr>
            </w:pPr>
          </w:p>
        </w:tc>
        <w:tc>
          <w:tcPr>
            <w:tcW w:w="2614" w:type="dxa"/>
            <w:noWrap w:val="0"/>
            <w:vAlign w:val="center"/>
          </w:tcPr>
          <w:p>
            <w:pPr>
              <w:widowControl/>
              <w:rPr>
                <w:color w:val="000000"/>
                <w:kern w:val="0"/>
                <w:szCs w:val="21"/>
              </w:rPr>
            </w:pPr>
            <w:r>
              <w:rPr>
                <w:color w:val="000000"/>
                <w:kern w:val="0"/>
                <w:szCs w:val="21"/>
              </w:rPr>
              <w:t>二年制毕业</w:t>
            </w:r>
          </w:p>
        </w:tc>
        <w:tc>
          <w:tcPr>
            <w:tcW w:w="4107" w:type="dxa"/>
            <w:gridSpan w:val="2"/>
            <w:noWrap w:val="0"/>
            <w:vAlign w:val="center"/>
          </w:tcPr>
          <w:p>
            <w:pPr>
              <w:widowControl/>
              <w:jc w:val="center"/>
              <w:rPr>
                <w:color w:val="000000"/>
                <w:kern w:val="0"/>
                <w:szCs w:val="21"/>
              </w:rPr>
            </w:pPr>
            <w:r>
              <w:rPr>
                <w:color w:val="000000"/>
                <w:kern w:val="0"/>
                <w:szCs w:val="21"/>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restart"/>
            <w:noWrap w:val="0"/>
            <w:vAlign w:val="center"/>
          </w:tcPr>
          <w:p>
            <w:pPr>
              <w:widowControl/>
              <w:rPr>
                <w:b/>
                <w:bCs/>
                <w:color w:val="000000"/>
                <w:szCs w:val="21"/>
              </w:rPr>
            </w:pPr>
            <w:r>
              <w:rPr>
                <w:color w:val="000000"/>
                <w:kern w:val="0"/>
                <w:szCs w:val="21"/>
              </w:rPr>
              <w:t>其它工科</w:t>
            </w:r>
          </w:p>
        </w:tc>
        <w:tc>
          <w:tcPr>
            <w:tcW w:w="658" w:type="dxa"/>
            <w:vMerge w:val="restart"/>
            <w:noWrap w:val="0"/>
            <w:vAlign w:val="center"/>
          </w:tcPr>
          <w:p>
            <w:pPr>
              <w:widowControl/>
              <w:jc w:val="center"/>
              <w:rPr>
                <w:color w:val="000000"/>
                <w:kern w:val="0"/>
                <w:szCs w:val="21"/>
              </w:rPr>
            </w:pPr>
            <w:r>
              <w:rPr>
                <w:color w:val="000000"/>
                <w:kern w:val="0"/>
                <w:szCs w:val="21"/>
              </w:rPr>
              <w:t>本科及</w:t>
            </w:r>
          </w:p>
          <w:p>
            <w:pPr>
              <w:widowControl/>
              <w:jc w:val="center"/>
              <w:rPr>
                <w:color w:val="000000"/>
                <w:kern w:val="0"/>
                <w:szCs w:val="21"/>
              </w:rPr>
            </w:pPr>
            <w:r>
              <w:rPr>
                <w:color w:val="000000"/>
                <w:kern w:val="0"/>
                <w:szCs w:val="21"/>
              </w:rPr>
              <w:t>以上</w:t>
            </w:r>
          </w:p>
        </w:tc>
        <w:tc>
          <w:tcPr>
            <w:tcW w:w="2614" w:type="dxa"/>
            <w:noWrap w:val="0"/>
            <w:vAlign w:val="center"/>
          </w:tcPr>
          <w:p>
            <w:pPr>
              <w:widowControl/>
              <w:rPr>
                <w:color w:val="000000"/>
                <w:kern w:val="0"/>
                <w:szCs w:val="21"/>
              </w:rPr>
            </w:pPr>
            <w:r>
              <w:rPr>
                <w:color w:val="000000"/>
                <w:kern w:val="0"/>
                <w:szCs w:val="21"/>
              </w:rPr>
              <w:t>工学硕士或研究生毕业</w:t>
            </w:r>
          </w:p>
        </w:tc>
        <w:tc>
          <w:tcPr>
            <w:tcW w:w="4107" w:type="dxa"/>
            <w:gridSpan w:val="2"/>
            <w:noWrap w:val="0"/>
            <w:vAlign w:val="center"/>
          </w:tcPr>
          <w:p>
            <w:pPr>
              <w:widowControl/>
              <w:jc w:val="center"/>
              <w:rPr>
                <w:color w:val="000000"/>
                <w:kern w:val="0"/>
                <w:szCs w:val="21"/>
              </w:rPr>
            </w:pPr>
            <w:r>
              <w:rPr>
                <w:color w:val="000000"/>
                <w:kern w:val="0"/>
                <w:szCs w:val="21"/>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left"/>
              <w:rPr>
                <w:color w:val="000000"/>
                <w:kern w:val="0"/>
                <w:szCs w:val="21"/>
              </w:rPr>
            </w:pPr>
          </w:p>
        </w:tc>
        <w:tc>
          <w:tcPr>
            <w:tcW w:w="2614" w:type="dxa"/>
            <w:noWrap w:val="0"/>
            <w:vAlign w:val="center"/>
          </w:tcPr>
          <w:p>
            <w:pPr>
              <w:widowControl/>
              <w:rPr>
                <w:color w:val="000000"/>
                <w:kern w:val="0"/>
                <w:szCs w:val="21"/>
              </w:rPr>
            </w:pPr>
            <w:r>
              <w:rPr>
                <w:color w:val="000000"/>
                <w:kern w:val="0"/>
                <w:szCs w:val="21"/>
              </w:rPr>
              <w:t>五年制工学士或毕业</w:t>
            </w:r>
          </w:p>
        </w:tc>
        <w:tc>
          <w:tcPr>
            <w:tcW w:w="4107" w:type="dxa"/>
            <w:gridSpan w:val="2"/>
            <w:noWrap w:val="0"/>
            <w:vAlign w:val="center"/>
          </w:tcPr>
          <w:p>
            <w:pPr>
              <w:widowControl/>
              <w:jc w:val="center"/>
              <w:rPr>
                <w:color w:val="000000"/>
                <w:kern w:val="0"/>
                <w:szCs w:val="21"/>
              </w:rPr>
            </w:pPr>
            <w:r>
              <w:rPr>
                <w:color w:val="000000"/>
                <w:kern w:val="0"/>
                <w:szCs w:val="21"/>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920" w:type="dxa"/>
            <w:vMerge w:val="continue"/>
            <w:noWrap w:val="0"/>
            <w:vAlign w:val="center"/>
          </w:tcPr>
          <w:p>
            <w:pPr>
              <w:widowControl w:val="0"/>
              <w:jc w:val="both"/>
              <w:rPr>
                <w:rFonts w:ascii="Times New Roman" w:hAnsi="Times New Roman" w:eastAsia="黑体" w:cs="Times New Roman"/>
                <w:b/>
                <w:bCs/>
                <w:color w:val="000000"/>
                <w:kern w:val="2"/>
                <w:sz w:val="21"/>
                <w:szCs w:val="21"/>
                <w:lang w:val="en-US" w:eastAsia="zh-CN" w:bidi="ar-SA"/>
              </w:rPr>
            </w:pPr>
          </w:p>
        </w:tc>
        <w:tc>
          <w:tcPr>
            <w:tcW w:w="2066" w:type="dxa"/>
            <w:vMerge w:val="continue"/>
            <w:noWrap w:val="0"/>
            <w:vAlign w:val="center"/>
          </w:tcPr>
          <w:p>
            <w:pPr>
              <w:widowControl w:val="0"/>
              <w:jc w:val="both"/>
              <w:rPr>
                <w:rFonts w:ascii="Times New Roman" w:hAnsi="Times New Roman" w:eastAsia="宋体" w:cs="Times New Roman"/>
                <w:b/>
                <w:bCs/>
                <w:color w:val="000000"/>
                <w:kern w:val="2"/>
                <w:sz w:val="21"/>
                <w:szCs w:val="21"/>
                <w:lang w:val="en-US" w:eastAsia="zh-CN" w:bidi="ar-SA"/>
              </w:rPr>
            </w:pPr>
          </w:p>
        </w:tc>
        <w:tc>
          <w:tcPr>
            <w:tcW w:w="658" w:type="dxa"/>
            <w:vMerge w:val="continue"/>
            <w:noWrap w:val="0"/>
            <w:vAlign w:val="center"/>
          </w:tcPr>
          <w:p>
            <w:pPr>
              <w:widowControl/>
              <w:jc w:val="left"/>
              <w:rPr>
                <w:color w:val="000000"/>
                <w:kern w:val="0"/>
                <w:szCs w:val="21"/>
              </w:rPr>
            </w:pPr>
          </w:p>
        </w:tc>
        <w:tc>
          <w:tcPr>
            <w:tcW w:w="2614" w:type="dxa"/>
            <w:noWrap w:val="0"/>
            <w:vAlign w:val="center"/>
          </w:tcPr>
          <w:p>
            <w:pPr>
              <w:widowControl/>
              <w:rPr>
                <w:color w:val="000000"/>
                <w:kern w:val="0"/>
                <w:szCs w:val="21"/>
              </w:rPr>
            </w:pPr>
            <w:r>
              <w:rPr>
                <w:color w:val="000000"/>
                <w:kern w:val="0"/>
                <w:szCs w:val="21"/>
              </w:rPr>
              <w:t>四年制工学士或毕业</w:t>
            </w:r>
          </w:p>
        </w:tc>
        <w:tc>
          <w:tcPr>
            <w:tcW w:w="4107" w:type="dxa"/>
            <w:gridSpan w:val="2"/>
            <w:noWrap w:val="0"/>
            <w:vAlign w:val="center"/>
          </w:tcPr>
          <w:p>
            <w:pPr>
              <w:widowControl/>
              <w:jc w:val="center"/>
              <w:rPr>
                <w:color w:val="000000"/>
                <w:kern w:val="0"/>
                <w:szCs w:val="21"/>
              </w:rPr>
            </w:pPr>
            <w:r>
              <w:rPr>
                <w:color w:val="000000"/>
                <w:kern w:val="0"/>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7" w:hRule="atLeast"/>
          <w:jc w:val="center"/>
        </w:trPr>
        <w:tc>
          <w:tcPr>
            <w:tcW w:w="920" w:type="dxa"/>
            <w:vMerge w:val="continue"/>
            <w:noWrap w:val="0"/>
            <w:vAlign w:val="center"/>
          </w:tcPr>
          <w:p>
            <w:pPr>
              <w:widowControl w:val="0"/>
              <w:spacing w:line="360" w:lineRule="exact"/>
              <w:jc w:val="both"/>
              <w:rPr>
                <w:rFonts w:ascii="Times New Roman" w:hAnsi="Times New Roman" w:eastAsia="宋体" w:cs="Times New Roman"/>
                <w:b/>
                <w:bCs/>
                <w:color w:val="000000"/>
                <w:kern w:val="2"/>
                <w:sz w:val="21"/>
                <w:szCs w:val="21"/>
                <w:lang w:val="en-US" w:eastAsia="zh-CN" w:bidi="ar-SA"/>
              </w:rPr>
            </w:pPr>
          </w:p>
        </w:tc>
        <w:tc>
          <w:tcPr>
            <w:tcW w:w="9445" w:type="dxa"/>
            <w:gridSpan w:val="5"/>
            <w:noWrap w:val="0"/>
            <w:vAlign w:val="center"/>
          </w:tcPr>
          <w:p>
            <w:pPr>
              <w:widowControl/>
              <w:spacing w:line="400" w:lineRule="exact"/>
              <w:ind w:firstLine="420" w:firstLineChars="200"/>
              <w:jc w:val="left"/>
              <w:rPr>
                <w:color w:val="000000"/>
                <w:kern w:val="0"/>
                <w:szCs w:val="21"/>
              </w:rPr>
            </w:pPr>
            <w:r>
              <w:rPr>
                <w:rFonts w:hint="eastAsia"/>
                <w:color w:val="000000"/>
                <w:kern w:val="0"/>
                <w:szCs w:val="21"/>
                <w:lang w:val="en-US" w:eastAsia="zh-CN"/>
              </w:rPr>
              <w:t>1</w:t>
            </w:r>
            <w:r>
              <w:rPr>
                <w:color w:val="000000"/>
                <w:kern w:val="0"/>
                <w:szCs w:val="21"/>
              </w:rPr>
              <w:t>、不具备上述规定学历人员，应从事工程设计工作满15年，且应具备下列条件之一：</w:t>
            </w:r>
          </w:p>
          <w:p>
            <w:pPr>
              <w:widowControl/>
              <w:spacing w:line="400" w:lineRule="exact"/>
              <w:ind w:firstLine="420" w:firstLineChars="200"/>
              <w:jc w:val="left"/>
              <w:rPr>
                <w:color w:val="000000"/>
                <w:kern w:val="0"/>
                <w:szCs w:val="21"/>
              </w:rPr>
            </w:pPr>
            <w:r>
              <w:rPr>
                <w:color w:val="000000"/>
                <w:kern w:val="0"/>
                <w:szCs w:val="21"/>
              </w:rPr>
              <w:t>（1）在注册建筑师执业制度实施</w:t>
            </w:r>
            <w:r>
              <w:rPr>
                <w:rFonts w:hint="eastAsia"/>
                <w:color w:val="000000"/>
                <w:kern w:val="0"/>
                <w:szCs w:val="21"/>
              </w:rPr>
              <w:t>之</w:t>
            </w:r>
            <w:r>
              <w:rPr>
                <w:color w:val="000000"/>
                <w:kern w:val="0"/>
                <w:szCs w:val="21"/>
              </w:rPr>
              <w:t>前，作为项目负责人或专业负责人，完成民用建筑设计三级及以上项目四项全过程设计，其中二级以上项目不少于一项。</w:t>
            </w:r>
          </w:p>
          <w:p>
            <w:pPr>
              <w:widowControl/>
              <w:spacing w:line="400" w:lineRule="exact"/>
              <w:ind w:firstLine="420" w:firstLineChars="200"/>
              <w:jc w:val="left"/>
              <w:rPr>
                <w:color w:val="000000"/>
                <w:kern w:val="0"/>
                <w:szCs w:val="21"/>
              </w:rPr>
            </w:pPr>
            <w:r>
              <w:rPr>
                <w:color w:val="000000"/>
                <w:kern w:val="0"/>
                <w:szCs w:val="21"/>
              </w:rPr>
              <w:t>（2）在注册建筑师执业制度实施</w:t>
            </w:r>
            <w:r>
              <w:rPr>
                <w:rFonts w:hint="eastAsia"/>
                <w:color w:val="000000"/>
                <w:kern w:val="0"/>
                <w:szCs w:val="21"/>
              </w:rPr>
              <w:t>之</w:t>
            </w:r>
            <w:r>
              <w:rPr>
                <w:color w:val="000000"/>
                <w:kern w:val="0"/>
                <w:szCs w:val="21"/>
              </w:rPr>
              <w:t>前，作为项目负责人或专业负责人，完成其他类型建筑设计中型及以上项目四项全过程设计，其中大型</w:t>
            </w:r>
            <w:r>
              <w:rPr>
                <w:rFonts w:hint="eastAsia"/>
                <w:color w:val="000000"/>
                <w:kern w:val="0"/>
                <w:szCs w:val="21"/>
              </w:rPr>
              <w:t>项目</w:t>
            </w:r>
            <w:r>
              <w:rPr>
                <w:color w:val="000000"/>
                <w:kern w:val="0"/>
                <w:szCs w:val="21"/>
              </w:rPr>
              <w:t>或特种建筑项目不少于一项。</w:t>
            </w:r>
          </w:p>
          <w:p>
            <w:pPr>
              <w:widowControl/>
              <w:spacing w:line="400" w:lineRule="exact"/>
              <w:ind w:firstLine="420" w:firstLineChars="200"/>
              <w:jc w:val="left"/>
              <w:rPr>
                <w:color w:val="000000"/>
                <w:kern w:val="0"/>
                <w:szCs w:val="21"/>
              </w:rPr>
            </w:pPr>
            <w:r>
              <w:rPr>
                <w:color w:val="000000"/>
                <w:kern w:val="0"/>
                <w:szCs w:val="21"/>
              </w:rPr>
              <w:t>说明：“民用建筑设计”、“其它类型建筑设计”等级的划分参见国家物价局、建设部《关于发布工程勘察和工程设计收费标准的通知》（</w:t>
            </w:r>
            <w:r>
              <w:rPr>
                <w:color w:val="000000"/>
                <w:szCs w:val="21"/>
              </w:rPr>
              <w:t>〔</w:t>
            </w:r>
            <w:r>
              <w:rPr>
                <w:color w:val="000000"/>
                <w:kern w:val="0"/>
                <w:szCs w:val="21"/>
              </w:rPr>
              <w:t>1992</w:t>
            </w:r>
            <w:r>
              <w:rPr>
                <w:color w:val="000000"/>
                <w:szCs w:val="21"/>
              </w:rPr>
              <w:t>〕</w:t>
            </w:r>
            <w:r>
              <w:rPr>
                <w:color w:val="000000"/>
                <w:kern w:val="0"/>
                <w:szCs w:val="21"/>
              </w:rPr>
              <w:t>价费字375号）及《工程设计收费标准（1992年修订本）》中的工程等级划分部分。</w:t>
            </w:r>
          </w:p>
          <w:p>
            <w:pPr>
              <w:numPr>
                <w:ilvl w:val="0"/>
                <w:numId w:val="0"/>
              </w:numPr>
              <w:spacing w:line="400" w:lineRule="exact"/>
              <w:ind w:firstLine="420" w:firstLineChars="200"/>
              <w:rPr>
                <w:color w:val="000000"/>
                <w:kern w:val="0"/>
                <w:szCs w:val="21"/>
              </w:rPr>
            </w:pPr>
            <w:r>
              <w:rPr>
                <w:rFonts w:hint="eastAsia"/>
                <w:color w:val="000000"/>
                <w:kern w:val="0"/>
                <w:szCs w:val="21"/>
                <w:lang w:val="en-US" w:eastAsia="zh-CN"/>
              </w:rPr>
              <w:t>2</w:t>
            </w:r>
            <w:r>
              <w:rPr>
                <w:color w:val="000000"/>
                <w:kern w:val="0"/>
                <w:szCs w:val="21"/>
              </w:rPr>
              <w:t>、职业实践要求：按照一级注册建筑师职业实践标准，申请报考人员应完成不少于700个单元的职业实践训练。报考人员应提供全国注册建筑师管理委员会统一印制或本人下载打印的《一级注册建筑师职业实践登记手册》，以供审查。</w:t>
            </w:r>
          </w:p>
          <w:p>
            <w:pPr>
              <w:numPr>
                <w:ilvl w:val="0"/>
                <w:numId w:val="0"/>
              </w:numPr>
              <w:spacing w:line="400" w:lineRule="exact"/>
              <w:ind w:firstLine="420" w:firstLineChars="200"/>
              <w:rPr>
                <w:rFonts w:hint="eastAsia"/>
                <w:color w:val="000000"/>
                <w:kern w:val="0"/>
                <w:szCs w:val="21"/>
              </w:rPr>
            </w:pPr>
            <w:r>
              <w:rPr>
                <w:rFonts w:hint="eastAsia"/>
                <w:color w:val="000000"/>
                <w:kern w:val="0"/>
                <w:szCs w:val="21"/>
                <w:lang w:val="en-US" w:eastAsia="zh-CN"/>
              </w:rPr>
              <w:t>3</w:t>
            </w:r>
            <w:r>
              <w:rPr>
                <w:color w:val="000000"/>
                <w:kern w:val="0"/>
                <w:szCs w:val="21"/>
              </w:rPr>
              <w:t>、</w:t>
            </w:r>
            <w:r>
              <w:rPr>
                <w:rFonts w:hint="eastAsia"/>
                <w:color w:val="000000"/>
                <w:kern w:val="0"/>
                <w:szCs w:val="21"/>
              </w:rPr>
              <w:t>根据相关规定，“相近专业”：本科及以上为城乡规划（原城市规划）、土木工程（原建筑工程、原工业与民用建筑工程）、风景园林、环境设计（原环境艺术、原环境艺术设计）；专科为城镇规划（原城乡规划）、建筑工程技术（原房屋建筑工程）、园林工程技术（原风景园林）、建筑装饰工程技术（原建筑装饰技术）、环境艺术设计（原环境艺术）。</w:t>
            </w:r>
          </w:p>
          <w:p>
            <w:pPr>
              <w:numPr>
                <w:ilvl w:val="0"/>
                <w:numId w:val="0"/>
              </w:numPr>
              <w:spacing w:line="400" w:lineRule="exact"/>
              <w:ind w:firstLine="420" w:firstLineChars="200"/>
              <w:rPr>
                <w:rFonts w:hint="default" w:eastAsia="宋体"/>
                <w:color w:val="000000"/>
                <w:kern w:val="0"/>
                <w:szCs w:val="21"/>
                <w:lang w:val="en-US" w:eastAsia="zh-CN"/>
              </w:rPr>
            </w:pPr>
            <w:r>
              <w:rPr>
                <w:rFonts w:hint="eastAsia"/>
                <w:color w:val="000000"/>
                <w:kern w:val="0"/>
                <w:szCs w:val="21"/>
                <w:lang w:val="en-US" w:eastAsia="zh-CN"/>
              </w:rPr>
              <w:t>4</w:t>
            </w:r>
            <w:r>
              <w:rPr>
                <w:color w:val="000000"/>
                <w:kern w:val="0"/>
                <w:szCs w:val="21"/>
              </w:rPr>
              <w:t>、</w:t>
            </w:r>
            <w:r>
              <w:rPr>
                <w:rFonts w:hint="eastAsia" w:eastAsia="宋体"/>
                <w:color w:val="000000"/>
                <w:kern w:val="0"/>
                <w:szCs w:val="21"/>
                <w:lang w:val="en-US" w:eastAsia="zh-CN"/>
              </w:rPr>
              <w:t>由于教育部专业名称调整及高校自设专业的影响，难以列举所有专业名称。如专业名称不在本表内的，可由应试人员提供学校专业课程设置、培养计划等材料，</w:t>
            </w:r>
            <w:r>
              <w:rPr>
                <w:rFonts w:hint="eastAsia"/>
                <w:color w:val="000000"/>
                <w:kern w:val="0"/>
                <w:szCs w:val="21"/>
                <w:lang w:val="en-US" w:eastAsia="zh-CN"/>
              </w:rPr>
              <w:t>按下列情况审核处理：</w:t>
            </w:r>
          </w:p>
          <w:p>
            <w:pPr>
              <w:numPr>
                <w:ilvl w:val="0"/>
                <w:numId w:val="0"/>
              </w:numPr>
              <w:spacing w:line="400" w:lineRule="exact"/>
              <w:ind w:firstLine="420" w:firstLineChars="200"/>
              <w:rPr>
                <w:rFonts w:hint="eastAsia" w:eastAsia="宋体"/>
                <w:color w:val="000000"/>
                <w:kern w:val="0"/>
                <w:szCs w:val="21"/>
                <w:lang w:val="en-US" w:eastAsia="zh-CN"/>
              </w:rPr>
            </w:pPr>
            <w:r>
              <w:rPr>
                <w:rFonts w:hint="eastAsia" w:eastAsia="宋体"/>
                <w:color w:val="000000"/>
                <w:kern w:val="0"/>
                <w:szCs w:val="21"/>
                <w:lang w:val="en-US" w:eastAsia="zh-CN"/>
              </w:rPr>
              <w:t>（1）主干课程设置及学时与建筑学专业一致，可参照建筑学（工学）、建筑设计技术专业相关规定报考；</w:t>
            </w:r>
          </w:p>
          <w:p>
            <w:pPr>
              <w:numPr>
                <w:ilvl w:val="0"/>
                <w:numId w:val="0"/>
              </w:numPr>
              <w:spacing w:line="400" w:lineRule="exact"/>
              <w:ind w:firstLine="420" w:firstLineChars="200"/>
              <w:rPr>
                <w:rFonts w:hint="eastAsia" w:eastAsia="宋体"/>
                <w:color w:val="000000"/>
                <w:kern w:val="0"/>
                <w:szCs w:val="21"/>
                <w:lang w:val="en-US" w:eastAsia="zh-CN"/>
              </w:rPr>
            </w:pPr>
            <w:r>
              <w:rPr>
                <w:rFonts w:hint="eastAsia" w:eastAsia="宋体"/>
                <w:color w:val="000000"/>
                <w:kern w:val="0"/>
                <w:szCs w:val="21"/>
                <w:lang w:val="en-US" w:eastAsia="zh-CN"/>
              </w:rPr>
              <w:t>（2）多数主干课程设置及学时与建筑学专业一致，可参照相近专业相关规定报考；</w:t>
            </w:r>
          </w:p>
          <w:p>
            <w:pPr>
              <w:numPr>
                <w:ilvl w:val="0"/>
                <w:numId w:val="0"/>
              </w:numPr>
              <w:spacing w:line="400" w:lineRule="exact"/>
              <w:ind w:firstLine="420" w:firstLineChars="200"/>
              <w:rPr>
                <w:rFonts w:hint="eastAsia" w:eastAsia="宋体"/>
                <w:color w:val="000000"/>
                <w:kern w:val="0"/>
                <w:szCs w:val="21"/>
                <w:lang w:val="en-US" w:eastAsia="zh-CN"/>
              </w:rPr>
            </w:pPr>
            <w:r>
              <w:rPr>
                <w:rFonts w:hint="eastAsia" w:eastAsia="宋体"/>
                <w:color w:val="000000"/>
                <w:kern w:val="0"/>
                <w:szCs w:val="21"/>
                <w:lang w:val="en-US" w:eastAsia="zh-CN"/>
              </w:rPr>
              <w:t>（3）主干课程设置及学时与相近专业基本一致，可参照相近专业相关规定报考</w:t>
            </w:r>
          </w:p>
        </w:tc>
      </w:tr>
    </w:tbl>
    <w:p/>
    <w:tbl>
      <w:tblPr>
        <w:tblStyle w:val="6"/>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354"/>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0" w:type="dxa"/>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5354" w:type="dxa"/>
            <w:noWrap w:val="0"/>
            <w:vAlign w:val="center"/>
          </w:tcPr>
          <w:p>
            <w:pPr>
              <w:jc w:val="center"/>
              <w:rPr>
                <w:rFonts w:hint="eastAsia" w:eastAsia="黑体"/>
                <w:b/>
                <w:szCs w:val="21"/>
                <w:lang w:val="en-US" w:eastAsia="zh-CN"/>
              </w:rPr>
            </w:pPr>
            <w:r>
              <w:rPr>
                <w:rFonts w:hint="eastAsia" w:hAnsi="黑体" w:eastAsia="黑体"/>
                <w:b/>
                <w:szCs w:val="21"/>
                <w:lang w:val="en-US" w:eastAsia="zh-CN"/>
              </w:rPr>
              <w:t>所学</w:t>
            </w:r>
            <w:r>
              <w:rPr>
                <w:rFonts w:hAnsi="黑体" w:eastAsia="黑体"/>
                <w:b/>
                <w:szCs w:val="21"/>
              </w:rPr>
              <w:t>专业</w:t>
            </w:r>
            <w:r>
              <w:rPr>
                <w:rFonts w:hint="eastAsia" w:hAnsi="黑体" w:eastAsia="黑体"/>
                <w:b/>
                <w:szCs w:val="21"/>
                <w:lang w:eastAsia="zh-CN"/>
              </w:rPr>
              <w:t>、</w:t>
            </w:r>
            <w:r>
              <w:rPr>
                <w:rFonts w:hint="eastAsia" w:hAnsi="黑体" w:eastAsia="黑体"/>
                <w:b/>
                <w:szCs w:val="21"/>
                <w:lang w:val="en-US" w:eastAsia="zh-CN"/>
              </w:rPr>
              <w:t>职称、</w:t>
            </w:r>
            <w:r>
              <w:rPr>
                <w:rFonts w:hAnsi="黑体" w:eastAsia="黑体"/>
                <w:b/>
                <w:szCs w:val="21"/>
              </w:rPr>
              <w:t>学位或学历</w:t>
            </w:r>
          </w:p>
        </w:tc>
        <w:tc>
          <w:tcPr>
            <w:tcW w:w="4091" w:type="dxa"/>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restart"/>
            <w:shd w:val="clear" w:color="auto" w:fill="auto"/>
            <w:noWrap w:val="0"/>
            <w:vAlign w:val="top"/>
          </w:tcPr>
          <w:p>
            <w:pPr>
              <w:widowControl/>
              <w:jc w:val="both"/>
              <w:rPr>
                <w:b/>
                <w:bCs/>
                <w:color w:val="000000"/>
                <w:kern w:val="0"/>
                <w:szCs w:val="21"/>
              </w:rPr>
            </w:pPr>
          </w:p>
          <w:p>
            <w:pPr>
              <w:widowControl/>
              <w:jc w:val="both"/>
              <w:rPr>
                <w:b/>
                <w:bCs/>
                <w:color w:val="000000"/>
                <w:kern w:val="0"/>
                <w:szCs w:val="21"/>
              </w:rPr>
            </w:pPr>
          </w:p>
          <w:p>
            <w:pPr>
              <w:jc w:val="center"/>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二</w:t>
            </w: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级</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册</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建</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筑</w:t>
            </w:r>
          </w:p>
          <w:p>
            <w:pPr>
              <w:jc w:val="center"/>
              <w:rPr>
                <w:b/>
                <w:szCs w:val="21"/>
              </w:rPr>
            </w:pPr>
            <w:r>
              <w:rPr>
                <w:rFonts w:hint="default" w:ascii="Calibri" w:hAnsi="黑体" w:eastAsia="黑体" w:cs="Times New Roman"/>
                <w:b/>
                <w:color w:val="000000"/>
                <w:position w:val="0"/>
                <w:sz w:val="21"/>
                <w:szCs w:val="21"/>
              </w:rPr>
              <w:t>师</w:t>
            </w:r>
          </w:p>
        </w:tc>
        <w:tc>
          <w:tcPr>
            <w:tcW w:w="5354" w:type="dxa"/>
            <w:noWrap w:val="0"/>
            <w:vAlign w:val="center"/>
          </w:tcPr>
          <w:p>
            <w:pPr>
              <w:widowControl/>
              <w:rPr>
                <w:color w:val="000000"/>
                <w:kern w:val="0"/>
                <w:szCs w:val="21"/>
              </w:rPr>
            </w:pPr>
            <w:r>
              <w:rPr>
                <w:rFonts w:hint="eastAsia"/>
                <w:color w:val="000000"/>
                <w:szCs w:val="21"/>
              </w:rPr>
              <w:t>具有建筑学或者相近专业大学本科毕业以上学历</w:t>
            </w:r>
          </w:p>
        </w:tc>
        <w:tc>
          <w:tcPr>
            <w:tcW w:w="4091" w:type="dxa"/>
            <w:noWrap w:val="0"/>
            <w:vAlign w:val="center"/>
          </w:tcPr>
          <w:p>
            <w:pPr>
              <w:widowControl/>
              <w:rPr>
                <w:color w:val="000000"/>
                <w:kern w:val="0"/>
                <w:szCs w:val="21"/>
              </w:rPr>
            </w:pPr>
            <w:r>
              <w:rPr>
                <w:rFonts w:hint="eastAsia"/>
                <w:color w:val="000000"/>
                <w:kern w:val="0"/>
                <w:szCs w:val="21"/>
              </w:rPr>
              <w:t>从事建筑设计或者相关业务2年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color w:val="000000"/>
                <w:kern w:val="0"/>
                <w:szCs w:val="21"/>
              </w:rPr>
            </w:pPr>
            <w:r>
              <w:rPr>
                <w:rFonts w:hint="eastAsia"/>
                <w:color w:val="000000"/>
                <w:kern w:val="0"/>
                <w:szCs w:val="21"/>
              </w:rPr>
              <w:t>具有建筑设计技术专业或者相近专业大专毕业以上学历</w:t>
            </w:r>
          </w:p>
        </w:tc>
        <w:tc>
          <w:tcPr>
            <w:tcW w:w="4091" w:type="dxa"/>
            <w:noWrap w:val="0"/>
            <w:vAlign w:val="center"/>
          </w:tcPr>
          <w:p>
            <w:pPr>
              <w:widowControl/>
              <w:rPr>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default" w:eastAsia="宋体"/>
                <w:color w:val="000000"/>
                <w:kern w:val="0"/>
                <w:szCs w:val="21"/>
                <w:lang w:val="en-US" w:eastAsia="zh-CN"/>
              </w:rPr>
            </w:pPr>
            <w:r>
              <w:rPr>
                <w:rFonts w:hint="eastAsia"/>
                <w:color w:val="000000"/>
                <w:kern w:val="0"/>
                <w:szCs w:val="21"/>
              </w:rPr>
              <w:t>具有建筑设计技术专业</w:t>
            </w:r>
            <w:r>
              <w:rPr>
                <w:rFonts w:hint="eastAsia"/>
                <w:color w:val="000000"/>
                <w:kern w:val="0"/>
                <w:szCs w:val="21"/>
                <w:lang w:val="en-US" w:eastAsia="zh-CN"/>
              </w:rPr>
              <w:t>4年制中</w:t>
            </w:r>
            <w:r>
              <w:rPr>
                <w:rFonts w:hint="eastAsia"/>
                <w:color w:val="000000"/>
                <w:kern w:val="0"/>
                <w:szCs w:val="21"/>
              </w:rPr>
              <w:t>专毕业学历</w:t>
            </w:r>
          </w:p>
        </w:tc>
        <w:tc>
          <w:tcPr>
            <w:tcW w:w="4091" w:type="dxa"/>
            <w:noWrap w:val="0"/>
            <w:vAlign w:val="center"/>
          </w:tcPr>
          <w:p>
            <w:pPr>
              <w:widowControl/>
              <w:rPr>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5</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eastAsia="宋体"/>
                <w:b w:val="0"/>
                <w:bCs w:val="0"/>
                <w:color w:val="000000"/>
                <w:kern w:val="0"/>
                <w:szCs w:val="21"/>
                <w:lang w:val="en-US" w:eastAsia="zh-CN"/>
              </w:rPr>
            </w:pPr>
            <w:r>
              <w:rPr>
                <w:rFonts w:hint="eastAsia" w:eastAsia="宋体"/>
                <w:b w:val="0"/>
                <w:bCs w:val="0"/>
                <w:color w:val="000000"/>
                <w:kern w:val="0"/>
                <w:szCs w:val="21"/>
                <w:lang w:val="en-US" w:eastAsia="zh-CN"/>
              </w:rPr>
              <w:t>具有建筑设计技术相近专业中专毕业学历</w:t>
            </w:r>
          </w:p>
        </w:tc>
        <w:tc>
          <w:tcPr>
            <w:tcW w:w="4091" w:type="dxa"/>
            <w:noWrap w:val="0"/>
            <w:vAlign w:val="center"/>
          </w:tcPr>
          <w:p>
            <w:pPr>
              <w:widowControl/>
              <w:rPr>
                <w:b/>
                <w:bCs/>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7</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b/>
                <w:bCs/>
                <w:color w:val="000000"/>
                <w:kern w:val="0"/>
                <w:szCs w:val="21"/>
              </w:rPr>
            </w:pPr>
            <w:r>
              <w:rPr>
                <w:rFonts w:hint="eastAsia"/>
                <w:b w:val="0"/>
                <w:bCs w:val="0"/>
                <w:color w:val="000000"/>
                <w:kern w:val="0"/>
                <w:szCs w:val="21"/>
              </w:rPr>
              <w:t>取得助理工程师以上技术职称</w:t>
            </w:r>
          </w:p>
        </w:tc>
        <w:tc>
          <w:tcPr>
            <w:tcW w:w="4091" w:type="dxa"/>
            <w:noWrap w:val="0"/>
            <w:vAlign w:val="center"/>
          </w:tcPr>
          <w:p>
            <w:pPr>
              <w:widowControl/>
              <w:rPr>
                <w:b/>
                <w:bCs/>
                <w:color w:val="000000"/>
                <w:kern w:val="0"/>
                <w:szCs w:val="21"/>
              </w:rPr>
            </w:pPr>
            <w:r>
              <w:rPr>
                <w:rFonts w:hint="eastAsia"/>
                <w:color w:val="000000"/>
                <w:kern w:val="0"/>
                <w:szCs w:val="21"/>
              </w:rPr>
              <w:t>从事建筑设计或者相关业务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exact"/>
          <w:jc w:val="center"/>
        </w:trPr>
        <w:tc>
          <w:tcPr>
            <w:tcW w:w="920" w:type="dxa"/>
            <w:vMerge w:val="continue"/>
            <w:shd w:val="clear" w:color="auto" w:fill="auto"/>
            <w:noWrap w:val="0"/>
            <w:vAlign w:val="top"/>
          </w:tcPr>
          <w:p>
            <w:pPr>
              <w:rPr>
                <w:b/>
                <w:szCs w:val="21"/>
              </w:rPr>
            </w:pPr>
          </w:p>
        </w:tc>
        <w:tc>
          <w:tcPr>
            <w:tcW w:w="9445" w:type="dxa"/>
            <w:gridSpan w:val="2"/>
            <w:noWrap w:val="0"/>
            <w:vAlign w:val="center"/>
          </w:tcPr>
          <w:p>
            <w:pPr>
              <w:numPr>
                <w:ilvl w:val="0"/>
                <w:numId w:val="0"/>
              </w:numPr>
              <w:ind w:firstLine="420" w:firstLineChars="200"/>
              <w:rPr>
                <w:rFonts w:hint="eastAsia"/>
                <w:szCs w:val="21"/>
                <w:lang w:val="en-US" w:eastAsia="zh-CN"/>
              </w:rPr>
            </w:pPr>
          </w:p>
          <w:p>
            <w:pPr>
              <w:numPr>
                <w:ilvl w:val="0"/>
                <w:numId w:val="0"/>
              </w:numPr>
              <w:ind w:firstLine="420" w:firstLineChars="200"/>
              <w:rPr>
                <w:rFonts w:hint="default"/>
                <w:szCs w:val="21"/>
                <w:lang w:val="en-US" w:eastAsia="zh-CN"/>
              </w:rPr>
            </w:pPr>
            <w:r>
              <w:rPr>
                <w:rFonts w:hint="eastAsia"/>
                <w:szCs w:val="21"/>
                <w:lang w:val="en-US" w:eastAsia="zh-CN"/>
              </w:rPr>
              <w:t>1、二级注册建筑师考试内容包括：场地设计、建筑设计与表达、建筑结构与设备、建筑法规、建筑经济与施工等。上述内容分成若干科目进行考试。科目考试合格有效期为四年。</w:t>
            </w:r>
          </w:p>
          <w:p>
            <w:pPr>
              <w:numPr>
                <w:ilvl w:val="0"/>
                <w:numId w:val="0"/>
              </w:numPr>
              <w:ind w:firstLine="420" w:firstLineChars="200"/>
              <w:rPr>
                <w:rFonts w:hint="default"/>
                <w:szCs w:val="21"/>
                <w:lang w:val="en-US" w:eastAsia="zh-CN"/>
              </w:rPr>
            </w:pPr>
            <w:r>
              <w:rPr>
                <w:rFonts w:hint="eastAsia"/>
                <w:szCs w:val="21"/>
                <w:lang w:val="en-US" w:eastAsia="zh-CN"/>
              </w:rPr>
              <w:t>2、全国一、二级注册建筑师资格考试报考专业说明见附件5</w:t>
            </w:r>
            <w:r>
              <w:rPr>
                <w:rFonts w:hint="eastAsia"/>
                <w:szCs w:val="21"/>
                <w:lang w:eastAsia="zh-CN"/>
              </w:rPr>
              <w:t>。</w:t>
            </w: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0" w:hRule="exact"/>
          <w:jc w:val="center"/>
        </w:trPr>
        <w:tc>
          <w:tcPr>
            <w:tcW w:w="920" w:type="dxa"/>
            <w:shd w:val="clear" w:color="auto" w:fill="auto"/>
            <w:noWrap w:val="0"/>
            <w:vAlign w:val="top"/>
          </w:tcPr>
          <w:p>
            <w:pPr>
              <w:widowControl/>
              <w:jc w:val="both"/>
              <w:rPr>
                <w:b/>
                <w:bCs/>
                <w:color w:val="000000"/>
                <w:kern w:val="0"/>
                <w:szCs w:val="21"/>
              </w:rPr>
            </w:pPr>
          </w:p>
          <w:p>
            <w:pPr>
              <w:widowControl/>
              <w:jc w:val="both"/>
              <w:rPr>
                <w:b/>
                <w:bCs/>
                <w:color w:val="000000"/>
                <w:kern w:val="0"/>
                <w:szCs w:val="21"/>
              </w:rPr>
            </w:pPr>
          </w:p>
          <w:p>
            <w:pPr>
              <w:jc w:val="center"/>
              <w:rPr>
                <w:rFonts w:hint="eastAsia" w:eastAsia="黑体"/>
                <w:b/>
                <w:szCs w:val="21"/>
              </w:rPr>
            </w:pPr>
          </w:p>
          <w:p>
            <w:pPr>
              <w:jc w:val="center"/>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勘</w:t>
            </w:r>
          </w:p>
          <w:p>
            <w:pPr>
              <w:numPr>
                <w:ilvl w:val="0"/>
                <w:numId w:val="0"/>
              </w:numPr>
              <w:wordWrap w:val="0"/>
              <w:autoSpaceDE/>
              <w:autoSpaceDN/>
              <w:spacing w:before="0" w:after="160" w:line="240" w:lineRule="auto"/>
              <w:ind w:left="316" w:right="0" w:hanging="316"/>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察</w:t>
            </w:r>
          </w:p>
          <w:p>
            <w:pPr>
              <w:numPr>
                <w:ilvl w:val="0"/>
                <w:numId w:val="0"/>
              </w:numPr>
              <w:wordWrap w:val="0"/>
              <w:autoSpaceDE/>
              <w:autoSpaceDN/>
              <w:spacing w:before="0" w:after="160" w:line="240" w:lineRule="auto"/>
              <w:ind w:left="316" w:right="0" w:hanging="316"/>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设</w:t>
            </w: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计</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册</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工</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程</w:t>
            </w:r>
          </w:p>
          <w:p>
            <w:pPr>
              <w:jc w:val="center"/>
              <w:rPr>
                <w:b/>
                <w:szCs w:val="21"/>
              </w:rPr>
            </w:pPr>
            <w:r>
              <w:rPr>
                <w:rFonts w:hint="default" w:ascii="Calibri" w:hAnsi="黑体" w:eastAsia="黑体" w:cs="Times New Roman"/>
                <w:b/>
                <w:color w:val="000000"/>
                <w:position w:val="0"/>
                <w:sz w:val="21"/>
                <w:szCs w:val="21"/>
              </w:rPr>
              <w:t>师</w:t>
            </w:r>
          </w:p>
        </w:tc>
        <w:tc>
          <w:tcPr>
            <w:tcW w:w="9445" w:type="dxa"/>
            <w:gridSpan w:val="2"/>
            <w:noWrap w:val="0"/>
            <w:vAlign w:val="center"/>
          </w:tcPr>
          <w:p>
            <w:pPr>
              <w:numPr>
                <w:ilvl w:val="0"/>
                <w:numId w:val="0"/>
              </w:numPr>
              <w:ind w:firstLine="480" w:firstLineChars="200"/>
              <w:rPr>
                <w:rFonts w:hint="eastAsia"/>
                <w:sz w:val="24"/>
                <w:szCs w:val="24"/>
                <w:lang w:eastAsia="zh-CN"/>
              </w:rPr>
            </w:pPr>
            <w:r>
              <w:rPr>
                <w:rFonts w:hint="eastAsia"/>
                <w:sz w:val="24"/>
                <w:szCs w:val="24"/>
                <w:lang w:val="en-US" w:eastAsia="zh-CN"/>
              </w:rPr>
              <w:t>1、</w:t>
            </w:r>
            <w:r>
              <w:rPr>
                <w:rFonts w:hint="eastAsia"/>
                <w:sz w:val="24"/>
                <w:szCs w:val="24"/>
                <w:lang w:eastAsia="zh-CN"/>
              </w:rPr>
              <w:t xml:space="preserve"> 2020年度勘察设计注册工程师执业资格考试报考条件可登录住房和城乡建设部执业资格注册中心官网（www.pqrc.org.cn中的考试动态）查询，相关土建类专业评估信息可登录住房和城乡建设部官网（www.mohurd.gov.cn） “人事教育”栏目中的“专业评估”板块进行查询。</w:t>
            </w:r>
          </w:p>
          <w:p>
            <w:pPr>
              <w:numPr>
                <w:ilvl w:val="0"/>
                <w:numId w:val="0"/>
              </w:numPr>
              <w:rPr>
                <w:rFonts w:hint="eastAsia"/>
                <w:sz w:val="24"/>
                <w:szCs w:val="24"/>
                <w:lang w:val="en-US" w:eastAsia="zh-CN"/>
              </w:rPr>
            </w:pPr>
          </w:p>
          <w:p>
            <w:pPr>
              <w:numPr>
                <w:ilvl w:val="0"/>
                <w:numId w:val="0"/>
              </w:numPr>
              <w:ind w:firstLine="480" w:firstLineChars="200"/>
              <w:rPr>
                <w:rFonts w:hint="default"/>
                <w:sz w:val="24"/>
                <w:szCs w:val="24"/>
                <w:lang w:val="en-US" w:eastAsia="zh-CN"/>
              </w:rPr>
            </w:pPr>
            <w:r>
              <w:rPr>
                <w:rFonts w:hint="eastAsia"/>
                <w:sz w:val="24"/>
                <w:szCs w:val="24"/>
                <w:lang w:val="en-US" w:eastAsia="zh-CN"/>
              </w:rPr>
              <w:t>2、</w:t>
            </w:r>
            <w:r>
              <w:rPr>
                <w:rFonts w:hint="eastAsia"/>
                <w:sz w:val="24"/>
                <w:szCs w:val="24"/>
                <w:lang w:eastAsia="zh-CN"/>
              </w:rPr>
              <w:t>报考人员所学专业请</w:t>
            </w:r>
            <w:r>
              <w:rPr>
                <w:rFonts w:hint="eastAsia"/>
                <w:sz w:val="24"/>
                <w:szCs w:val="24"/>
                <w:lang w:val="en-US" w:eastAsia="zh-CN"/>
              </w:rPr>
              <w:t>参照</w:t>
            </w:r>
            <w:r>
              <w:rPr>
                <w:rFonts w:hint="eastAsia"/>
                <w:sz w:val="24"/>
                <w:szCs w:val="24"/>
                <w:lang w:eastAsia="zh-CN"/>
              </w:rPr>
              <w:t>全国勘察设计注册工程师管理委员会《关于印发〈全国勘察设计注册工程师相关专业新旧名称对照表（2018）〉的通知》（注工〔2018〕1号）和《关于印发〈勘察设计注册土木工程师（道路工程）新旧专业参照表（2019）〉的通知》（注工〔2019〕7号），上述两文件可登录住房和城乡建设部执业资格注册中心官网（www.pqrc.org.cn中的考试动态）查询。</w:t>
            </w:r>
          </w:p>
          <w:p>
            <w:pPr>
              <w:numPr>
                <w:ilvl w:val="0"/>
                <w:numId w:val="0"/>
              </w:numPr>
              <w:ind w:firstLine="480" w:firstLineChars="200"/>
              <w:rPr>
                <w:rFonts w:hint="eastAsia"/>
                <w:sz w:val="24"/>
                <w:szCs w:val="24"/>
                <w:lang w:eastAsia="zh-CN"/>
              </w:rPr>
            </w:pPr>
          </w:p>
          <w:p>
            <w:pPr>
              <w:numPr>
                <w:ilvl w:val="0"/>
                <w:numId w:val="0"/>
              </w:numPr>
              <w:ind w:firstLine="480" w:firstLineChars="200"/>
              <w:rPr>
                <w:rFonts w:hint="eastAsia"/>
                <w:sz w:val="24"/>
                <w:szCs w:val="24"/>
                <w:lang w:eastAsia="zh-CN"/>
              </w:rPr>
            </w:pPr>
          </w:p>
          <w:p>
            <w:pPr>
              <w:numPr>
                <w:ilvl w:val="0"/>
                <w:numId w:val="0"/>
              </w:numPr>
              <w:ind w:firstLine="420" w:firstLineChars="200"/>
              <w:rPr>
                <w:rFonts w:hint="eastAsia"/>
                <w:szCs w:val="21"/>
                <w:lang w:eastAsia="zh-CN"/>
              </w:rPr>
            </w:pPr>
          </w:p>
        </w:tc>
      </w:tr>
    </w:tbl>
    <w:p/>
    <w:p/>
    <w:p/>
    <w:tbl>
      <w:tblPr>
        <w:tblStyle w:val="6"/>
        <w:tblW w:w="10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853"/>
        <w:gridCol w:w="12"/>
        <w:gridCol w:w="2149"/>
        <w:gridCol w:w="3060"/>
        <w:gridCol w:w="8"/>
        <w:gridCol w:w="427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exact"/>
          <w:jc w:val="center"/>
        </w:trPr>
        <w:tc>
          <w:tcPr>
            <w:tcW w:w="861" w:type="dxa"/>
            <w:gridSpan w:val="2"/>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2161" w:type="dxa"/>
            <w:gridSpan w:val="2"/>
            <w:noWrap w:val="0"/>
            <w:vAlign w:val="center"/>
          </w:tcPr>
          <w:p>
            <w:pPr>
              <w:jc w:val="center"/>
              <w:rPr>
                <w:rFonts w:eastAsia="黑体"/>
                <w:b/>
                <w:szCs w:val="21"/>
              </w:rPr>
            </w:pPr>
            <w:r>
              <w:rPr>
                <w:rFonts w:hAnsi="黑体" w:eastAsia="黑体"/>
                <w:b/>
                <w:szCs w:val="21"/>
              </w:rPr>
              <w:t>所学专业或职称</w:t>
            </w:r>
          </w:p>
        </w:tc>
        <w:tc>
          <w:tcPr>
            <w:tcW w:w="3060" w:type="dxa"/>
            <w:noWrap w:val="0"/>
            <w:vAlign w:val="center"/>
          </w:tcPr>
          <w:p>
            <w:pPr>
              <w:jc w:val="center"/>
              <w:rPr>
                <w:rFonts w:eastAsia="黑体"/>
                <w:b/>
                <w:szCs w:val="21"/>
              </w:rPr>
            </w:pPr>
            <w:r>
              <w:rPr>
                <w:rFonts w:hAnsi="黑体" w:eastAsia="黑体"/>
                <w:b/>
                <w:szCs w:val="21"/>
              </w:rPr>
              <w:t>学位或学历</w:t>
            </w:r>
          </w:p>
        </w:tc>
        <w:tc>
          <w:tcPr>
            <w:tcW w:w="4283" w:type="dxa"/>
            <w:gridSpan w:val="2"/>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861" w:type="dxa"/>
            <w:gridSpan w:val="2"/>
            <w:vMerge w:val="restart"/>
            <w:noWrap w:val="0"/>
            <w:vAlign w:val="center"/>
          </w:tcPr>
          <w:p>
            <w:pPr>
              <w:widowControl/>
              <w:jc w:val="center"/>
              <w:rPr>
                <w:rFonts w:eastAsia="黑体"/>
                <w:b/>
                <w:bCs/>
                <w:kern w:val="0"/>
                <w:szCs w:val="21"/>
              </w:rPr>
            </w:pPr>
            <w:r>
              <w:rPr>
                <w:rFonts w:eastAsia="黑体"/>
                <w:b/>
                <w:bCs/>
                <w:kern w:val="0"/>
                <w:szCs w:val="21"/>
              </w:rPr>
              <w:t>执</w:t>
            </w:r>
          </w:p>
          <w:p>
            <w:pPr>
              <w:widowControl/>
              <w:jc w:val="center"/>
              <w:rPr>
                <w:rFonts w:eastAsia="黑体"/>
                <w:b/>
                <w:bCs/>
                <w:kern w:val="0"/>
                <w:szCs w:val="21"/>
              </w:rPr>
            </w:pPr>
            <w:r>
              <w:rPr>
                <w:rFonts w:eastAsia="黑体"/>
                <w:b/>
                <w:bCs/>
                <w:kern w:val="0"/>
                <w:szCs w:val="21"/>
              </w:rPr>
              <w:t>业</w:t>
            </w:r>
          </w:p>
          <w:p>
            <w:pPr>
              <w:widowControl/>
              <w:jc w:val="center"/>
              <w:rPr>
                <w:rFonts w:eastAsia="黑体"/>
                <w:b/>
                <w:bCs/>
                <w:kern w:val="0"/>
                <w:szCs w:val="21"/>
              </w:rPr>
            </w:pPr>
            <w:r>
              <w:rPr>
                <w:rFonts w:eastAsia="黑体"/>
                <w:b/>
                <w:bCs/>
                <w:kern w:val="0"/>
                <w:szCs w:val="21"/>
              </w:rPr>
              <w:t>药</w:t>
            </w:r>
          </w:p>
          <w:p>
            <w:pPr>
              <w:jc w:val="center"/>
              <w:rPr>
                <w:rFonts w:eastAsia="黑体"/>
                <w:b/>
                <w:szCs w:val="21"/>
              </w:rPr>
            </w:pPr>
            <w:r>
              <w:rPr>
                <w:rFonts w:eastAsia="黑体"/>
                <w:b/>
                <w:bCs/>
                <w:kern w:val="0"/>
                <w:szCs w:val="21"/>
              </w:rPr>
              <w:t>师</w:t>
            </w:r>
          </w:p>
        </w:tc>
        <w:tc>
          <w:tcPr>
            <w:tcW w:w="2161" w:type="dxa"/>
            <w:gridSpan w:val="2"/>
            <w:vMerge w:val="restart"/>
            <w:noWrap w:val="0"/>
            <w:vAlign w:val="center"/>
          </w:tcPr>
          <w:p>
            <w:pPr>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药学类、中药学类</w:t>
            </w:r>
          </w:p>
        </w:tc>
        <w:tc>
          <w:tcPr>
            <w:tcW w:w="3060" w:type="dxa"/>
            <w:noWrap w:val="0"/>
            <w:vAlign w:val="center"/>
          </w:tcPr>
          <w:p>
            <w:pPr>
              <w:rPr>
                <w:szCs w:val="21"/>
              </w:rPr>
            </w:pPr>
            <w:r>
              <w:rPr>
                <w:kern w:val="0"/>
                <w:szCs w:val="21"/>
              </w:rPr>
              <w:t>大专</w:t>
            </w:r>
          </w:p>
        </w:tc>
        <w:tc>
          <w:tcPr>
            <w:tcW w:w="4283" w:type="dxa"/>
            <w:gridSpan w:val="2"/>
            <w:noWrap w:val="0"/>
            <w:vAlign w:val="center"/>
          </w:tcPr>
          <w:p>
            <w:pPr>
              <w:rPr>
                <w:szCs w:val="21"/>
              </w:rPr>
            </w:pPr>
            <w:r>
              <w:rPr>
                <w:kern w:val="0"/>
                <w:szCs w:val="21"/>
              </w:rPr>
              <w:t>从事药学或中药学专业工作满5年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861" w:type="dxa"/>
            <w:gridSpan w:val="2"/>
            <w:vMerge w:val="continue"/>
            <w:noWrap w:val="0"/>
            <w:vAlign w:val="center"/>
          </w:tcPr>
          <w:p>
            <w:pPr>
              <w:jc w:val="center"/>
              <w:rPr>
                <w:rFonts w:eastAsia="黑体"/>
                <w:b/>
                <w:szCs w:val="21"/>
              </w:rPr>
            </w:pPr>
          </w:p>
        </w:tc>
        <w:tc>
          <w:tcPr>
            <w:tcW w:w="2161" w:type="dxa"/>
            <w:gridSpan w:val="2"/>
            <w:vMerge w:val="continue"/>
            <w:noWrap w:val="0"/>
            <w:vAlign w:val="center"/>
          </w:tcPr>
          <w:p>
            <w:pPr>
              <w:jc w:val="center"/>
              <w:rPr>
                <w:rFonts w:eastAsia="黑体"/>
                <w:b/>
                <w:szCs w:val="21"/>
              </w:rPr>
            </w:pPr>
          </w:p>
        </w:tc>
        <w:tc>
          <w:tcPr>
            <w:tcW w:w="3060" w:type="dxa"/>
            <w:noWrap w:val="0"/>
            <w:vAlign w:val="center"/>
          </w:tcPr>
          <w:p>
            <w:pPr>
              <w:rPr>
                <w:szCs w:val="21"/>
              </w:rPr>
            </w:pPr>
            <w:r>
              <w:rPr>
                <w:kern w:val="0"/>
                <w:szCs w:val="21"/>
              </w:rPr>
              <w:t>本科</w:t>
            </w:r>
          </w:p>
        </w:tc>
        <w:tc>
          <w:tcPr>
            <w:tcW w:w="4283" w:type="dxa"/>
            <w:gridSpan w:val="2"/>
            <w:noWrap w:val="0"/>
            <w:vAlign w:val="center"/>
          </w:tcPr>
          <w:p>
            <w:pPr>
              <w:rPr>
                <w:szCs w:val="21"/>
              </w:rPr>
            </w:pPr>
            <w:r>
              <w:rPr>
                <w:kern w:val="0"/>
                <w:szCs w:val="21"/>
              </w:rPr>
              <w:t>从事药学或中药学专业工作满3年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861" w:type="dxa"/>
            <w:gridSpan w:val="2"/>
            <w:vMerge w:val="continue"/>
            <w:noWrap w:val="0"/>
            <w:vAlign w:val="center"/>
          </w:tcPr>
          <w:p>
            <w:pPr>
              <w:jc w:val="center"/>
              <w:rPr>
                <w:rFonts w:eastAsia="黑体"/>
                <w:b/>
                <w:szCs w:val="21"/>
              </w:rPr>
            </w:pPr>
          </w:p>
        </w:tc>
        <w:tc>
          <w:tcPr>
            <w:tcW w:w="2161" w:type="dxa"/>
            <w:gridSpan w:val="2"/>
            <w:vMerge w:val="continue"/>
            <w:noWrap w:val="0"/>
            <w:vAlign w:val="center"/>
          </w:tcPr>
          <w:p>
            <w:pPr>
              <w:jc w:val="center"/>
              <w:rPr>
                <w:rFonts w:eastAsia="黑体"/>
                <w:b/>
                <w:szCs w:val="21"/>
              </w:rPr>
            </w:pPr>
          </w:p>
        </w:tc>
        <w:tc>
          <w:tcPr>
            <w:tcW w:w="3060" w:type="dxa"/>
            <w:noWrap w:val="0"/>
            <w:vAlign w:val="center"/>
          </w:tcPr>
          <w:p>
            <w:pPr>
              <w:rPr>
                <w:szCs w:val="21"/>
              </w:rPr>
            </w:pPr>
            <w:r>
              <w:rPr>
                <w:rFonts w:hint="eastAsia"/>
                <w:kern w:val="0"/>
                <w:szCs w:val="21"/>
                <w:lang w:val="en-US" w:eastAsia="zh-CN"/>
              </w:rPr>
              <w:t>第二</w:t>
            </w:r>
            <w:r>
              <w:rPr>
                <w:kern w:val="0"/>
                <w:szCs w:val="21"/>
              </w:rPr>
              <w:t>学士</w:t>
            </w:r>
            <w:r>
              <w:rPr>
                <w:rFonts w:hint="eastAsia"/>
                <w:kern w:val="0"/>
                <w:szCs w:val="21"/>
                <w:lang w:val="en-US" w:eastAsia="zh-CN"/>
              </w:rPr>
              <w:t>学位</w:t>
            </w:r>
            <w:r>
              <w:rPr>
                <w:kern w:val="0"/>
                <w:szCs w:val="21"/>
              </w:rPr>
              <w:t>、研究生班、硕士学位</w:t>
            </w:r>
          </w:p>
        </w:tc>
        <w:tc>
          <w:tcPr>
            <w:tcW w:w="4283" w:type="dxa"/>
            <w:gridSpan w:val="2"/>
            <w:noWrap w:val="0"/>
            <w:vAlign w:val="center"/>
          </w:tcPr>
          <w:p>
            <w:pPr>
              <w:rPr>
                <w:szCs w:val="21"/>
              </w:rPr>
            </w:pPr>
            <w:r>
              <w:rPr>
                <w:kern w:val="0"/>
                <w:szCs w:val="21"/>
              </w:rPr>
              <w:t>从事药学或中药学专业工作满1年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861" w:type="dxa"/>
            <w:gridSpan w:val="2"/>
            <w:vMerge w:val="continue"/>
            <w:noWrap w:val="0"/>
            <w:vAlign w:val="center"/>
          </w:tcPr>
          <w:p>
            <w:pPr>
              <w:jc w:val="center"/>
              <w:rPr>
                <w:rFonts w:eastAsia="黑体"/>
                <w:b/>
                <w:szCs w:val="21"/>
              </w:rPr>
            </w:pPr>
          </w:p>
        </w:tc>
        <w:tc>
          <w:tcPr>
            <w:tcW w:w="2161" w:type="dxa"/>
            <w:gridSpan w:val="2"/>
            <w:vMerge w:val="continue"/>
            <w:noWrap w:val="0"/>
            <w:vAlign w:val="center"/>
          </w:tcPr>
          <w:p>
            <w:pPr>
              <w:jc w:val="center"/>
              <w:rPr>
                <w:rFonts w:eastAsia="黑体"/>
                <w:b/>
                <w:szCs w:val="21"/>
              </w:rPr>
            </w:pPr>
          </w:p>
        </w:tc>
        <w:tc>
          <w:tcPr>
            <w:tcW w:w="3060" w:type="dxa"/>
            <w:noWrap w:val="0"/>
            <w:vAlign w:val="center"/>
          </w:tcPr>
          <w:p>
            <w:pPr>
              <w:rPr>
                <w:szCs w:val="21"/>
              </w:rPr>
            </w:pPr>
            <w:r>
              <w:rPr>
                <w:kern w:val="0"/>
                <w:szCs w:val="21"/>
              </w:rPr>
              <w:t>博士学位</w:t>
            </w:r>
          </w:p>
        </w:tc>
        <w:tc>
          <w:tcPr>
            <w:tcW w:w="4283" w:type="dxa"/>
            <w:gridSpan w:val="2"/>
            <w:noWrap w:val="0"/>
            <w:vAlign w:val="center"/>
          </w:tcPr>
          <w:p>
            <w:pPr>
              <w:rPr>
                <w:szCs w:val="21"/>
              </w:rPr>
            </w:pPr>
            <w:r>
              <w:rPr>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27" w:hRule="exact"/>
          <w:jc w:val="center"/>
        </w:trPr>
        <w:tc>
          <w:tcPr>
            <w:tcW w:w="861" w:type="dxa"/>
            <w:gridSpan w:val="2"/>
            <w:vMerge w:val="continue"/>
            <w:noWrap w:val="0"/>
            <w:vAlign w:val="center"/>
          </w:tcPr>
          <w:p>
            <w:pPr>
              <w:jc w:val="center"/>
              <w:rPr>
                <w:rFonts w:eastAsia="黑体"/>
                <w:b/>
                <w:szCs w:val="21"/>
              </w:rPr>
            </w:pPr>
          </w:p>
        </w:tc>
        <w:tc>
          <w:tcPr>
            <w:tcW w:w="9504" w:type="dxa"/>
            <w:gridSpan w:val="5"/>
            <w:noWrap w:val="0"/>
            <w:vAlign w:val="center"/>
          </w:tcPr>
          <w:p>
            <w:pPr>
              <w:tabs>
                <w:tab w:val="left" w:pos="6072"/>
              </w:tabs>
              <w:ind w:firstLine="420" w:firstLineChars="200"/>
              <w:rPr>
                <w:rFonts w:hint="default" w:eastAsiaTheme="minorEastAsia"/>
                <w:szCs w:val="21"/>
                <w:lang w:val="en-US" w:eastAsia="zh-CN"/>
              </w:rPr>
            </w:pPr>
            <w:r>
              <w:rPr>
                <w:rFonts w:hint="eastAsia"/>
                <w:szCs w:val="21"/>
                <w:lang w:val="en-US" w:eastAsia="zh-CN"/>
              </w:rPr>
              <w:t>取得药学类、中药学类相关专业相应学历或学位的人员，在药学或中药学岗位工作的年限相应增加1年。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54" w:hRule="exact"/>
          <w:jc w:val="center"/>
        </w:trPr>
        <w:tc>
          <w:tcPr>
            <w:tcW w:w="861" w:type="dxa"/>
            <w:gridSpan w:val="2"/>
            <w:vMerge w:val="continue"/>
            <w:noWrap w:val="0"/>
            <w:vAlign w:val="center"/>
          </w:tcPr>
          <w:p>
            <w:pPr>
              <w:jc w:val="center"/>
              <w:rPr>
                <w:rFonts w:eastAsia="黑体"/>
                <w:b/>
                <w:szCs w:val="21"/>
              </w:rPr>
            </w:pPr>
          </w:p>
        </w:tc>
        <w:tc>
          <w:tcPr>
            <w:tcW w:w="9504" w:type="dxa"/>
            <w:gridSpan w:val="5"/>
            <w:noWrap w:val="0"/>
            <w:vAlign w:val="center"/>
          </w:tcPr>
          <w:p>
            <w:pPr>
              <w:numPr>
                <w:ilvl w:val="0"/>
                <w:numId w:val="0"/>
              </w:numPr>
              <w:ind w:firstLine="420" w:firstLineChars="200"/>
              <w:rPr>
                <w:rFonts w:hint="eastAsia" w:ascii="宋体" w:hAnsi="宋体" w:eastAsia="宋体" w:cs="宋体"/>
              </w:rPr>
            </w:pPr>
            <w:r>
              <w:rPr>
                <w:rFonts w:hint="eastAsia" w:ascii="宋体" w:hAnsi="宋体" w:eastAsia="宋体" w:cs="宋体"/>
                <w:lang w:val="en-US" w:eastAsia="zh-CN"/>
              </w:rPr>
              <w:t>符合原人事部、原国家药品监督管理局《关于修订印发&lt;执业药师资格制度暂行规定&gt;和&lt;执业药师资格考试实施办法&gt;的通知》（人发[1999]34号）（以下简称原34号文）要求的中专学历报考人员，相关专业与药学、中药学专业执行过渡期政策：取得药学、中药学或相关中专学历，在药学或中药学岗位工作满7年，在2020年12月31日前可报名参加考试。考试成绩有效期按原34号文规定的2年为一个周期滚动管理、各科目成绩有效期最迟截至2020年12月31日。</w:t>
            </w:r>
          </w:p>
          <w:p>
            <w:pPr>
              <w:tabs>
                <w:tab w:val="left" w:pos="6072"/>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201" w:hRule="exact"/>
          <w:jc w:val="center"/>
        </w:trPr>
        <w:tc>
          <w:tcPr>
            <w:tcW w:w="861" w:type="dxa"/>
            <w:gridSpan w:val="2"/>
            <w:vMerge w:val="continue"/>
            <w:noWrap w:val="0"/>
            <w:vAlign w:val="center"/>
          </w:tcPr>
          <w:p>
            <w:pPr>
              <w:jc w:val="center"/>
              <w:rPr>
                <w:rFonts w:eastAsia="黑体"/>
                <w:b/>
                <w:szCs w:val="21"/>
              </w:rPr>
            </w:pPr>
          </w:p>
        </w:tc>
        <w:tc>
          <w:tcPr>
            <w:tcW w:w="9504" w:type="dxa"/>
            <w:gridSpan w:val="5"/>
            <w:noWrap w:val="0"/>
            <w:vAlign w:val="center"/>
          </w:tcPr>
          <w:p>
            <w:pPr>
              <w:numPr>
                <w:ilvl w:val="0"/>
                <w:numId w:val="0"/>
              </w:numPr>
              <w:ind w:firstLine="420" w:firstLineChars="200"/>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参加全部科目考试的人员须在连续四个考试年度内通过全部科目的考试，免试部分科目的人员须在连续两个考试年度内通过应试科目，方可获得资格证书。</w:t>
            </w:r>
          </w:p>
          <w:p>
            <w:pPr>
              <w:numPr>
                <w:ilvl w:val="0"/>
                <w:numId w:val="0"/>
              </w:numPr>
              <w:ind w:firstLine="420" w:firstLineChars="200"/>
              <w:rPr>
                <w:szCs w:val="21"/>
              </w:rPr>
            </w:pPr>
            <w:r>
              <w:rPr>
                <w:rFonts w:hint="eastAsia"/>
                <w:szCs w:val="21"/>
                <w:lang w:val="en-US" w:eastAsia="zh-CN"/>
              </w:rPr>
              <w:t>2、</w:t>
            </w:r>
            <w:r>
              <w:rPr>
                <w:szCs w:val="21"/>
              </w:rPr>
              <w:t>按国家有关规定</w:t>
            </w:r>
            <w:r>
              <w:rPr>
                <w:rFonts w:hint="eastAsia"/>
                <w:szCs w:val="21"/>
                <w:lang w:eastAsia="zh-CN"/>
              </w:rPr>
              <w:t>，</w:t>
            </w:r>
            <w:r>
              <w:rPr>
                <w:rFonts w:hint="eastAsia"/>
                <w:szCs w:val="21"/>
                <w:lang w:val="en-US" w:eastAsia="zh-CN"/>
              </w:rPr>
              <w:t>取得药学或医学专业</w:t>
            </w:r>
            <w:r>
              <w:rPr>
                <w:szCs w:val="21"/>
              </w:rPr>
              <w:t>高级</w:t>
            </w:r>
            <w:r>
              <w:rPr>
                <w:rFonts w:hint="eastAsia"/>
                <w:szCs w:val="21"/>
                <w:lang w:val="en-US" w:eastAsia="zh-CN"/>
              </w:rPr>
              <w:t>职称并在药学岗位工作的</w:t>
            </w:r>
            <w:r>
              <w:rPr>
                <w:szCs w:val="21"/>
              </w:rPr>
              <w:t>，可免试《药学专业知识（一）》、《药学专业知识（二）》2个科目，只参加《药事管理与法规》、《药学综合知识与技能》2个科目的考试</w:t>
            </w:r>
            <w:r>
              <w:rPr>
                <w:rFonts w:hint="eastAsia"/>
                <w:szCs w:val="21"/>
                <w:lang w:eastAsia="zh-CN"/>
              </w:rPr>
              <w:t>；</w:t>
            </w:r>
            <w:r>
              <w:rPr>
                <w:rFonts w:hint="eastAsia"/>
                <w:szCs w:val="21"/>
                <w:lang w:val="en-US" w:eastAsia="zh-CN"/>
              </w:rPr>
              <w:t>取得中药学或中医学专业高级职称并在中药学岗位工作的，可免试《中药学专业知识（一）》《中药学专业知识（二）》，只参加</w:t>
            </w:r>
            <w:r>
              <w:rPr>
                <w:szCs w:val="21"/>
              </w:rPr>
              <w:t>《药事管理与法规》、《</w:t>
            </w:r>
            <w:r>
              <w:rPr>
                <w:rFonts w:hint="eastAsia"/>
                <w:szCs w:val="21"/>
                <w:lang w:val="en-US" w:eastAsia="zh-CN"/>
              </w:rPr>
              <w:t>中</w:t>
            </w:r>
            <w:r>
              <w:rPr>
                <w:szCs w:val="21"/>
              </w:rPr>
              <w:t>药学综合知识与技能》</w:t>
            </w:r>
            <w:r>
              <w:rPr>
                <w:rFonts w:hint="eastAsia"/>
                <w:szCs w:val="21"/>
                <w:lang w:val="en-US" w:eastAsia="zh-CN"/>
              </w:rPr>
              <w:t>两个科目的考试。</w:t>
            </w:r>
          </w:p>
          <w:p>
            <w:pPr>
              <w:numPr>
                <w:ilvl w:val="0"/>
                <w:numId w:val="0"/>
              </w:numPr>
              <w:ind w:firstLine="420" w:firstLineChars="200"/>
              <w:rPr>
                <w:szCs w:val="21"/>
              </w:rPr>
            </w:pPr>
            <w:r>
              <w:rPr>
                <w:rFonts w:hint="eastAsia"/>
                <w:szCs w:val="21"/>
                <w:lang w:val="en-US" w:eastAsia="zh-CN"/>
              </w:rPr>
              <w:t>3、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pPr>
              <w:numPr>
                <w:ilvl w:val="0"/>
                <w:numId w:val="0"/>
              </w:numPr>
              <w:ind w:firstLine="420" w:firstLineChars="200"/>
              <w:rPr>
                <w:szCs w:val="21"/>
              </w:rPr>
            </w:pPr>
            <w:r>
              <w:rPr>
                <w:rFonts w:hint="eastAsia"/>
                <w:szCs w:val="21"/>
                <w:lang w:val="en-US" w:eastAsia="zh-CN"/>
              </w:rPr>
              <w:t>4、符合免试部分科目的大专及以上学历的报考人员，实行2年为一个周期滚动管理，须在连续两个考试年度内通过应试科目。</w:t>
            </w:r>
          </w:p>
          <w:p>
            <w:pPr>
              <w:numPr>
                <w:ilvl w:val="0"/>
                <w:numId w:val="0"/>
              </w:numPr>
              <w:ind w:leftChars="0" w:firstLine="420" w:firstLineChars="200"/>
              <w:rPr>
                <w:rFonts w:hint="eastAsia"/>
                <w:szCs w:val="21"/>
                <w:lang w:val="en-US" w:eastAsia="zh-CN"/>
              </w:rPr>
            </w:pPr>
            <w:r>
              <w:rPr>
                <w:rFonts w:hint="eastAsia"/>
                <w:szCs w:val="21"/>
                <w:lang w:val="en-US" w:eastAsia="zh-CN"/>
              </w:rPr>
              <w:t>5、按照国家有关规定评聘为高级专业技术职务，且连续从事药学或中药学专业工作满20年，符合原34号文中《执业药师职业资格考试实施办法》第五条规定的免考两科条件的药学或中药学专业中专学历报考人员，在2020年12月31日前可继续按免考两科申请报名参加考试，其考试成绩有效期按原34号文规定执行，须在一个考试年度内通过应试科目。</w:t>
            </w:r>
          </w:p>
          <w:p>
            <w:pPr>
              <w:numPr>
                <w:ilvl w:val="0"/>
                <w:numId w:val="0"/>
              </w:numPr>
              <w:ind w:firstLine="420" w:firstLineChars="200"/>
              <w:rPr>
                <w:rFonts w:hint="eastAsia"/>
                <w:szCs w:val="21"/>
                <w:lang w:val="en-US" w:eastAsia="zh-CN"/>
              </w:rPr>
            </w:pPr>
            <w:r>
              <w:rPr>
                <w:rFonts w:hint="eastAsia" w:ascii="宋体" w:hAnsi="宋体" w:cs="宋体"/>
                <w:lang w:val="en-US" w:eastAsia="zh-CN"/>
              </w:rPr>
              <w:t>6、</w:t>
            </w:r>
            <w:r>
              <w:rPr>
                <w:rFonts w:hint="eastAsia" w:ascii="宋体" w:hAnsi="宋体" w:eastAsia="宋体" w:cs="宋体"/>
              </w:rPr>
              <w:t>中专学历报考人员应根据本人符合的报考条件，选择“考全科（中专）”或“免二科（中专）”</w:t>
            </w:r>
            <w:r>
              <w:rPr>
                <w:rFonts w:hint="eastAsia" w:ascii="宋体" w:hAnsi="宋体" w:eastAsia="宋体" w:cs="宋体"/>
                <w:lang w:val="en-US" w:eastAsia="zh-CN"/>
              </w:rPr>
              <w:t>报考</w:t>
            </w:r>
            <w:r>
              <w:rPr>
                <w:rFonts w:hint="eastAsia" w:ascii="宋体" w:hAnsi="宋体" w:eastAsia="宋体" w:cs="宋体"/>
              </w:rPr>
              <w:t>。</w:t>
            </w:r>
          </w:p>
          <w:p>
            <w:pPr>
              <w:numPr>
                <w:ilvl w:val="0"/>
                <w:numId w:val="0"/>
              </w:numPr>
              <w:ind w:leftChars="0" w:firstLine="420" w:firstLineChars="200"/>
              <w:rPr>
                <w:rFonts w:hint="eastAsia"/>
                <w:szCs w:val="21"/>
                <w:lang w:val="en-US" w:eastAsia="zh-CN"/>
              </w:rPr>
            </w:pPr>
            <w:r>
              <w:rPr>
                <w:rFonts w:hint="eastAsia"/>
                <w:szCs w:val="21"/>
                <w:lang w:val="en-US" w:eastAsia="zh-CN"/>
              </w:rPr>
              <w:t>7、在过渡期后，中专学历不再符合《执业药师职业资格制度规定》报考条件，也就不能按免考两科的方式申请参加职业药师职业资格考试。</w:t>
            </w:r>
          </w:p>
          <w:p>
            <w:pPr>
              <w:numPr>
                <w:ilvl w:val="0"/>
                <w:numId w:val="0"/>
              </w:numPr>
              <w:ind w:leftChars="0" w:firstLine="420" w:firstLineChars="200"/>
              <w:rPr>
                <w:rFonts w:hint="default"/>
                <w:szCs w:val="21"/>
                <w:lang w:val="en-US" w:eastAsia="zh-CN"/>
              </w:rPr>
            </w:pPr>
            <w:r>
              <w:rPr>
                <w:rFonts w:hint="eastAsia"/>
                <w:szCs w:val="21"/>
                <w:lang w:val="en-US" w:eastAsia="zh-CN"/>
              </w:rPr>
              <w:t>8、专业岗位工作年限，是指报考人员取得药学、中药学专业及相关专业学历（学位）后全职从事药学、中药学专业岗位工作时间的综合。截止日期为考试当年度的12月31日。</w:t>
            </w:r>
          </w:p>
          <w:p>
            <w:pPr>
              <w:numPr>
                <w:ilvl w:val="0"/>
                <w:numId w:val="0"/>
              </w:numPr>
              <w:ind w:firstLine="420" w:firstLineChars="200"/>
              <w:rPr>
                <w:szCs w:val="21"/>
              </w:rPr>
            </w:pPr>
            <w:r>
              <w:rPr>
                <w:rFonts w:hint="eastAsia"/>
                <w:szCs w:val="21"/>
                <w:lang w:val="en-US" w:eastAsia="zh-CN"/>
              </w:rPr>
              <w:t>9、原制度过渡办法、学历（学位）的要求、免试部分科目的条件、专业类别的界定、专业岗位工作年限计算方式和港澳台居民报考的规定等，请参照《关于国家执业药师职业资格考试报考条件的说明》及 《注册安全工程师职业资格考试安全工程及相关专业参考目录》</w:t>
            </w:r>
            <w:r>
              <w:rPr>
                <w:szCs w:val="21"/>
              </w:rPr>
              <w:t>见附件</w:t>
            </w:r>
            <w:r>
              <w:rPr>
                <w:rFonts w:hint="eastAsia"/>
                <w:szCs w:val="21"/>
                <w:lang w:val="en-US" w:eastAsia="zh-CN"/>
              </w:rPr>
              <w:t>6</w:t>
            </w:r>
            <w:r>
              <w:rPr>
                <w:szCs w:val="21"/>
              </w:rPr>
              <w:t>。</w:t>
            </w:r>
          </w:p>
          <w:p>
            <w:pPr>
              <w:tabs>
                <w:tab w:val="left" w:pos="6072"/>
              </w:tabs>
              <w:rPr>
                <w:rFonts w:hint="default" w:eastAsia="宋体"/>
                <w:szCs w:val="21"/>
                <w:lang w:val="en-US" w:eastAsia="zh-CN"/>
              </w:rPr>
            </w:pPr>
            <w:r>
              <w:rPr>
                <w:rFonts w:hint="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680" w:hRule="exact"/>
          <w:jc w:val="center"/>
        </w:trPr>
        <w:tc>
          <w:tcPr>
            <w:tcW w:w="865" w:type="dxa"/>
            <w:gridSpan w:val="2"/>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5217" w:type="dxa"/>
            <w:gridSpan w:val="3"/>
            <w:noWrap w:val="0"/>
            <w:vAlign w:val="center"/>
          </w:tcPr>
          <w:p>
            <w:pPr>
              <w:jc w:val="center"/>
              <w:rPr>
                <w:rFonts w:eastAsia="黑体"/>
                <w:b/>
                <w:szCs w:val="21"/>
              </w:rPr>
            </w:pPr>
            <w:r>
              <w:rPr>
                <w:rFonts w:hint="eastAsia" w:hAnsi="黑体" w:eastAsia="黑体"/>
                <w:b/>
                <w:szCs w:val="21"/>
                <w:lang w:val="en-US" w:eastAsia="zh-CN"/>
              </w:rPr>
              <w:t>所学</w:t>
            </w:r>
            <w:r>
              <w:rPr>
                <w:rFonts w:hAnsi="黑体" w:eastAsia="黑体"/>
                <w:b/>
                <w:szCs w:val="21"/>
              </w:rPr>
              <w:t>专业</w:t>
            </w:r>
            <w:r>
              <w:rPr>
                <w:rFonts w:hint="eastAsia" w:hAnsi="黑体" w:eastAsia="黑体"/>
                <w:b/>
                <w:szCs w:val="21"/>
                <w:lang w:eastAsia="zh-CN"/>
              </w:rPr>
              <w:t>、</w:t>
            </w:r>
            <w:r>
              <w:rPr>
                <w:rFonts w:hint="eastAsia" w:hAnsi="黑体" w:eastAsia="黑体"/>
                <w:b/>
                <w:szCs w:val="21"/>
                <w:lang w:val="en-US" w:eastAsia="zh-CN"/>
              </w:rPr>
              <w:t>职称、</w:t>
            </w:r>
            <w:r>
              <w:rPr>
                <w:rFonts w:hAnsi="黑体" w:eastAsia="黑体"/>
                <w:b/>
                <w:szCs w:val="21"/>
              </w:rPr>
              <w:t>学位或学历</w:t>
            </w:r>
          </w:p>
        </w:tc>
        <w:tc>
          <w:tcPr>
            <w:tcW w:w="4283" w:type="dxa"/>
            <w:gridSpan w:val="2"/>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37" w:hRule="exact"/>
          <w:jc w:val="center"/>
        </w:trPr>
        <w:tc>
          <w:tcPr>
            <w:tcW w:w="865" w:type="dxa"/>
            <w:gridSpan w:val="2"/>
            <w:vMerge w:val="restart"/>
            <w:shd w:val="clear" w:color="auto" w:fill="auto"/>
            <w:noWrap w:val="0"/>
            <w:vAlign w:val="top"/>
          </w:tcPr>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both"/>
              <w:rPr>
                <w:b/>
                <w:bCs/>
                <w:color w:val="000000"/>
                <w:kern w:val="0"/>
                <w:szCs w:val="21"/>
              </w:rPr>
            </w:pPr>
          </w:p>
          <w:p>
            <w:pPr>
              <w:widowControl/>
              <w:jc w:val="center"/>
              <w:rPr>
                <w:b/>
                <w:bCs/>
                <w:color w:val="000000"/>
                <w:kern w:val="0"/>
                <w:szCs w:val="21"/>
              </w:rPr>
            </w:pPr>
          </w:p>
          <w:p>
            <w:pPr>
              <w:jc w:val="center"/>
              <w:rPr>
                <w:rFonts w:hint="eastAsia" w:eastAsia="黑体"/>
                <w:b/>
                <w:szCs w:val="21"/>
              </w:rPr>
            </w:pPr>
          </w:p>
          <w:p>
            <w:pPr>
              <w:jc w:val="center"/>
              <w:rPr>
                <w:rFonts w:eastAsia="黑体"/>
                <w:b/>
                <w:szCs w:val="21"/>
              </w:rPr>
            </w:pPr>
            <w:r>
              <w:rPr>
                <w:rFonts w:eastAsia="黑体"/>
                <w:b/>
                <w:szCs w:val="21"/>
              </w:rPr>
              <w:t>注</w:t>
            </w:r>
          </w:p>
          <w:p>
            <w:pPr>
              <w:jc w:val="center"/>
              <w:rPr>
                <w:rFonts w:eastAsia="黑体"/>
                <w:b/>
                <w:szCs w:val="21"/>
              </w:rPr>
            </w:pPr>
            <w:r>
              <w:rPr>
                <w:rFonts w:eastAsia="黑体"/>
                <w:b/>
                <w:szCs w:val="21"/>
              </w:rPr>
              <w:t>册</w:t>
            </w:r>
          </w:p>
          <w:p>
            <w:pPr>
              <w:jc w:val="center"/>
              <w:rPr>
                <w:rFonts w:eastAsia="黑体"/>
                <w:b/>
                <w:szCs w:val="21"/>
              </w:rPr>
            </w:pPr>
            <w:r>
              <w:rPr>
                <w:rFonts w:eastAsia="黑体"/>
                <w:b/>
                <w:szCs w:val="21"/>
              </w:rPr>
              <w:t>城</w:t>
            </w:r>
          </w:p>
          <w:p>
            <w:pPr>
              <w:jc w:val="center"/>
              <w:rPr>
                <w:rFonts w:eastAsia="黑体"/>
                <w:b/>
                <w:szCs w:val="21"/>
              </w:rPr>
            </w:pPr>
            <w:r>
              <w:rPr>
                <w:rFonts w:eastAsia="黑体"/>
                <w:b/>
                <w:szCs w:val="21"/>
              </w:rPr>
              <w:t>乡</w:t>
            </w:r>
          </w:p>
          <w:p>
            <w:pPr>
              <w:jc w:val="center"/>
              <w:rPr>
                <w:rFonts w:eastAsia="黑体"/>
                <w:b/>
                <w:szCs w:val="21"/>
              </w:rPr>
            </w:pPr>
            <w:r>
              <w:rPr>
                <w:rFonts w:eastAsia="黑体"/>
                <w:b/>
                <w:szCs w:val="21"/>
              </w:rPr>
              <w:t>规</w:t>
            </w:r>
          </w:p>
          <w:p>
            <w:pPr>
              <w:jc w:val="center"/>
              <w:rPr>
                <w:rFonts w:eastAsia="黑体"/>
                <w:b/>
                <w:szCs w:val="21"/>
              </w:rPr>
            </w:pPr>
            <w:r>
              <w:rPr>
                <w:rFonts w:eastAsia="黑体"/>
                <w:b/>
                <w:szCs w:val="21"/>
              </w:rPr>
              <w:t>划</w:t>
            </w:r>
          </w:p>
          <w:p>
            <w:pPr>
              <w:jc w:val="center"/>
              <w:rPr>
                <w:b/>
                <w:szCs w:val="21"/>
              </w:rPr>
            </w:pPr>
            <w:r>
              <w:rPr>
                <w:rFonts w:eastAsia="黑体"/>
                <w:b/>
                <w:szCs w:val="21"/>
              </w:rPr>
              <w:t>师</w:t>
            </w:r>
          </w:p>
        </w:tc>
        <w:tc>
          <w:tcPr>
            <w:tcW w:w="5217" w:type="dxa"/>
            <w:gridSpan w:val="3"/>
            <w:noWrap w:val="0"/>
            <w:vAlign w:val="center"/>
          </w:tcPr>
          <w:p>
            <w:pPr>
              <w:widowControl/>
              <w:rPr>
                <w:color w:val="000000"/>
                <w:kern w:val="0"/>
                <w:szCs w:val="21"/>
              </w:rPr>
            </w:pPr>
            <w:r>
              <w:rPr>
                <w:color w:val="000000"/>
                <w:szCs w:val="21"/>
              </w:rPr>
              <w:t>取得城乡规划专业大学专科学历</w:t>
            </w:r>
          </w:p>
        </w:tc>
        <w:tc>
          <w:tcPr>
            <w:tcW w:w="4283" w:type="dxa"/>
            <w:gridSpan w:val="2"/>
            <w:noWrap w:val="0"/>
            <w:vAlign w:val="center"/>
          </w:tcPr>
          <w:p>
            <w:pPr>
              <w:widowControl/>
              <w:rPr>
                <w:color w:val="000000"/>
                <w:kern w:val="0"/>
                <w:szCs w:val="21"/>
              </w:rPr>
            </w:pPr>
            <w:r>
              <w:rPr>
                <w:color w:val="000000"/>
                <w:kern w:val="0"/>
                <w:szCs w:val="21"/>
              </w:rPr>
              <w:t>从事城乡规划业务工作满6年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37" w:hRule="exact"/>
          <w:jc w:val="center"/>
        </w:trPr>
        <w:tc>
          <w:tcPr>
            <w:tcW w:w="865" w:type="dxa"/>
            <w:gridSpan w:val="2"/>
            <w:vMerge w:val="continue"/>
            <w:shd w:val="clear" w:color="auto" w:fill="auto"/>
            <w:noWrap w:val="0"/>
            <w:vAlign w:val="top"/>
          </w:tcPr>
          <w:p>
            <w:pPr>
              <w:rPr>
                <w:b/>
                <w:szCs w:val="21"/>
              </w:rPr>
            </w:pPr>
          </w:p>
        </w:tc>
        <w:tc>
          <w:tcPr>
            <w:tcW w:w="5217" w:type="dxa"/>
            <w:gridSpan w:val="3"/>
            <w:noWrap w:val="0"/>
            <w:vAlign w:val="center"/>
          </w:tcPr>
          <w:p>
            <w:pPr>
              <w:widowControl/>
              <w:rPr>
                <w:color w:val="000000"/>
                <w:kern w:val="0"/>
                <w:szCs w:val="21"/>
              </w:rPr>
            </w:pPr>
            <w:r>
              <w:rPr>
                <w:color w:val="000000"/>
                <w:szCs w:val="21"/>
              </w:rPr>
              <w:t>取得城乡规划专业大学本科学历或学位，或取得建筑学学士学位（专业学位）</w:t>
            </w:r>
          </w:p>
        </w:tc>
        <w:tc>
          <w:tcPr>
            <w:tcW w:w="4283" w:type="dxa"/>
            <w:gridSpan w:val="2"/>
            <w:noWrap w:val="0"/>
            <w:vAlign w:val="center"/>
          </w:tcPr>
          <w:p>
            <w:pPr>
              <w:widowControl/>
              <w:rPr>
                <w:color w:val="000000"/>
                <w:kern w:val="0"/>
                <w:szCs w:val="21"/>
              </w:rPr>
            </w:pPr>
            <w:r>
              <w:rPr>
                <w:color w:val="000000"/>
                <w:kern w:val="0"/>
                <w:szCs w:val="21"/>
              </w:rPr>
              <w:t>从事城乡规划业务工作满4年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37" w:hRule="exact"/>
          <w:jc w:val="center"/>
        </w:trPr>
        <w:tc>
          <w:tcPr>
            <w:tcW w:w="865" w:type="dxa"/>
            <w:gridSpan w:val="2"/>
            <w:vMerge w:val="continue"/>
            <w:shd w:val="clear" w:color="auto" w:fill="auto"/>
            <w:noWrap w:val="0"/>
            <w:vAlign w:val="top"/>
          </w:tcPr>
          <w:p>
            <w:pPr>
              <w:rPr>
                <w:b/>
                <w:szCs w:val="21"/>
              </w:rPr>
            </w:pPr>
          </w:p>
        </w:tc>
        <w:tc>
          <w:tcPr>
            <w:tcW w:w="5217" w:type="dxa"/>
            <w:gridSpan w:val="3"/>
            <w:noWrap w:val="0"/>
            <w:vAlign w:val="center"/>
          </w:tcPr>
          <w:p>
            <w:pPr>
              <w:widowControl/>
              <w:rPr>
                <w:color w:val="000000"/>
                <w:kern w:val="0"/>
                <w:szCs w:val="21"/>
              </w:rPr>
            </w:pPr>
            <w:r>
              <w:rPr>
                <w:color w:val="000000"/>
                <w:szCs w:val="21"/>
              </w:rPr>
              <w:t>取得通过专业评估（认证）的城乡规划专业大学本科学历或学位</w:t>
            </w:r>
          </w:p>
        </w:tc>
        <w:tc>
          <w:tcPr>
            <w:tcW w:w="4283" w:type="dxa"/>
            <w:gridSpan w:val="2"/>
            <w:noWrap w:val="0"/>
            <w:vAlign w:val="center"/>
          </w:tcPr>
          <w:p>
            <w:pPr>
              <w:widowControl/>
              <w:rPr>
                <w:color w:val="000000"/>
                <w:kern w:val="0"/>
                <w:szCs w:val="21"/>
              </w:rPr>
            </w:pPr>
            <w:r>
              <w:rPr>
                <w:color w:val="000000"/>
                <w:szCs w:val="21"/>
              </w:rPr>
              <w:t>从事城乡规划业务工作满3年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37" w:hRule="exact"/>
          <w:jc w:val="center"/>
        </w:trPr>
        <w:tc>
          <w:tcPr>
            <w:tcW w:w="865" w:type="dxa"/>
            <w:gridSpan w:val="2"/>
            <w:vMerge w:val="continue"/>
            <w:shd w:val="clear" w:color="auto" w:fill="auto"/>
            <w:noWrap w:val="0"/>
            <w:vAlign w:val="top"/>
          </w:tcPr>
          <w:p>
            <w:pPr>
              <w:rPr>
                <w:b/>
                <w:szCs w:val="21"/>
              </w:rPr>
            </w:pPr>
          </w:p>
        </w:tc>
        <w:tc>
          <w:tcPr>
            <w:tcW w:w="5217" w:type="dxa"/>
            <w:gridSpan w:val="3"/>
            <w:noWrap w:val="0"/>
            <w:vAlign w:val="center"/>
          </w:tcPr>
          <w:p>
            <w:pPr>
              <w:widowControl/>
              <w:rPr>
                <w:b/>
                <w:bCs/>
                <w:color w:val="000000"/>
                <w:kern w:val="0"/>
                <w:szCs w:val="21"/>
              </w:rPr>
            </w:pPr>
            <w:r>
              <w:rPr>
                <w:color w:val="000000"/>
                <w:szCs w:val="21"/>
              </w:rPr>
              <w:t>取得城乡规划专业硕士学位，或取得建筑学硕士学位（专业学位）</w:t>
            </w:r>
          </w:p>
        </w:tc>
        <w:tc>
          <w:tcPr>
            <w:tcW w:w="4283" w:type="dxa"/>
            <w:gridSpan w:val="2"/>
            <w:noWrap w:val="0"/>
            <w:vAlign w:val="center"/>
          </w:tcPr>
          <w:p>
            <w:pPr>
              <w:widowControl/>
              <w:rPr>
                <w:b/>
                <w:bCs/>
                <w:color w:val="000000"/>
                <w:kern w:val="0"/>
                <w:szCs w:val="21"/>
              </w:rPr>
            </w:pPr>
            <w:r>
              <w:rPr>
                <w:color w:val="000000"/>
                <w:szCs w:val="21"/>
              </w:rPr>
              <w:t>从事城乡规划业务工作满2年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943" w:hRule="exact"/>
          <w:jc w:val="center"/>
        </w:trPr>
        <w:tc>
          <w:tcPr>
            <w:tcW w:w="865" w:type="dxa"/>
            <w:gridSpan w:val="2"/>
            <w:vMerge w:val="continue"/>
            <w:shd w:val="clear" w:color="auto" w:fill="auto"/>
            <w:noWrap w:val="0"/>
            <w:vAlign w:val="top"/>
          </w:tcPr>
          <w:p>
            <w:pPr>
              <w:rPr>
                <w:b/>
                <w:szCs w:val="21"/>
              </w:rPr>
            </w:pPr>
          </w:p>
        </w:tc>
        <w:tc>
          <w:tcPr>
            <w:tcW w:w="5217" w:type="dxa"/>
            <w:gridSpan w:val="3"/>
            <w:noWrap w:val="0"/>
            <w:vAlign w:val="center"/>
          </w:tcPr>
          <w:p>
            <w:pPr>
              <w:widowControl/>
              <w:rPr>
                <w:b/>
                <w:bCs/>
                <w:color w:val="000000"/>
                <w:kern w:val="0"/>
                <w:szCs w:val="21"/>
              </w:rPr>
            </w:pPr>
            <w:r>
              <w:rPr>
                <w:color w:val="000000"/>
                <w:szCs w:val="21"/>
              </w:rPr>
              <w:t>取得通过专业评估（认证）的城乡规划专业硕士学位或城市规划硕士学位（专业学位），或取得城乡规划专业博士学位</w:t>
            </w:r>
          </w:p>
        </w:tc>
        <w:tc>
          <w:tcPr>
            <w:tcW w:w="4283" w:type="dxa"/>
            <w:gridSpan w:val="2"/>
            <w:noWrap w:val="0"/>
            <w:vAlign w:val="center"/>
          </w:tcPr>
          <w:p>
            <w:pPr>
              <w:widowControl/>
              <w:rPr>
                <w:b/>
                <w:bCs/>
                <w:color w:val="000000"/>
                <w:kern w:val="0"/>
                <w:szCs w:val="21"/>
              </w:rPr>
            </w:pPr>
            <w:r>
              <w:rPr>
                <w:color w:val="000000"/>
                <w:szCs w:val="21"/>
              </w:rPr>
              <w:t>从事城乡规划业务工作满1年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37" w:hRule="exact"/>
          <w:jc w:val="center"/>
        </w:trPr>
        <w:tc>
          <w:tcPr>
            <w:tcW w:w="865" w:type="dxa"/>
            <w:gridSpan w:val="2"/>
            <w:vMerge w:val="continue"/>
            <w:shd w:val="clear" w:color="auto" w:fill="auto"/>
            <w:noWrap w:val="0"/>
            <w:vAlign w:val="top"/>
          </w:tcPr>
          <w:p>
            <w:pPr>
              <w:rPr>
                <w:b/>
                <w:szCs w:val="21"/>
              </w:rPr>
            </w:pPr>
          </w:p>
        </w:tc>
        <w:tc>
          <w:tcPr>
            <w:tcW w:w="9500" w:type="dxa"/>
            <w:gridSpan w:val="5"/>
            <w:noWrap w:val="0"/>
            <w:vAlign w:val="center"/>
          </w:tcPr>
          <w:p>
            <w:pPr>
              <w:widowControl/>
              <w:rPr>
                <w:szCs w:val="21"/>
              </w:rPr>
            </w:pPr>
            <w:r>
              <w:rPr>
                <w:color w:val="000000"/>
                <w:szCs w:val="21"/>
              </w:rPr>
              <w:t>除上述规定的情形外，取得其他专业的相应学历或者学位的人员，从事城乡规划业务工作年限相应增加1年。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7983" w:hRule="exact"/>
          <w:jc w:val="center"/>
        </w:trPr>
        <w:tc>
          <w:tcPr>
            <w:tcW w:w="865" w:type="dxa"/>
            <w:gridSpan w:val="2"/>
            <w:vMerge w:val="continue"/>
            <w:shd w:val="clear" w:color="auto" w:fill="auto"/>
            <w:noWrap w:val="0"/>
            <w:vAlign w:val="top"/>
          </w:tcPr>
          <w:p>
            <w:pPr>
              <w:rPr>
                <w:b/>
                <w:szCs w:val="21"/>
              </w:rPr>
            </w:pPr>
          </w:p>
        </w:tc>
        <w:tc>
          <w:tcPr>
            <w:tcW w:w="9500" w:type="dxa"/>
            <w:gridSpan w:val="5"/>
            <w:noWrap w:val="0"/>
            <w:vAlign w:val="center"/>
          </w:tcPr>
          <w:p>
            <w:pPr>
              <w:pStyle w:val="5"/>
              <w:shd w:val="clear" w:color="auto" w:fill="FFFFFF"/>
              <w:spacing w:before="0" w:beforeAutospacing="0" w:after="0" w:afterAutospacing="0" w:line="375" w:lineRule="atLeast"/>
              <w:ind w:firstLine="210" w:firstLineChars="100"/>
              <w:rPr>
                <w:rFonts w:ascii="Times New Roman" w:hAnsi="Times New Roman" w:cs="Times New Roman"/>
                <w:color w:val="000000"/>
                <w:kern w:val="2"/>
                <w:sz w:val="21"/>
                <w:szCs w:val="21"/>
              </w:rPr>
            </w:pPr>
          </w:p>
          <w:p>
            <w:pPr>
              <w:pStyle w:val="5"/>
              <w:shd w:val="clear" w:color="auto" w:fill="FFFFFF"/>
              <w:spacing w:before="0" w:beforeAutospacing="0" w:after="0" w:afterAutospacing="0" w:line="375" w:lineRule="atLeast"/>
              <w:ind w:firstLine="420" w:firstLineChars="200"/>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lang w:val="en-US" w:eastAsia="zh-CN"/>
              </w:rPr>
              <w:t>1</w:t>
            </w:r>
            <w:r>
              <w:rPr>
                <w:rFonts w:ascii="Times New Roman" w:hAnsi="Times New Roman" w:cs="Times New Roman"/>
                <w:color w:val="000000"/>
                <w:kern w:val="2"/>
                <w:sz w:val="21"/>
                <w:szCs w:val="21"/>
              </w:rPr>
              <w:t>、考试成绩实行4年为一个周期的滚动管理办法，在连续的4个考试年度内参加应试科目的考试并合格，方可取得注册城乡规划师资格证书。</w:t>
            </w:r>
          </w:p>
          <w:p>
            <w:pPr>
              <w:pStyle w:val="5"/>
              <w:shd w:val="clear" w:color="auto" w:fill="FFFFFF"/>
              <w:spacing w:before="0" w:beforeAutospacing="0" w:after="0" w:afterAutospacing="0" w:line="375" w:lineRule="atLeast"/>
              <w:ind w:firstLine="420" w:firstLineChars="200"/>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lang w:val="en-US" w:eastAsia="zh-CN"/>
              </w:rPr>
              <w:t>2</w:t>
            </w:r>
            <w:r>
              <w:rPr>
                <w:rFonts w:ascii="Times New Roman" w:hAnsi="Times New Roman" w:cs="Times New Roman"/>
                <w:color w:val="000000"/>
                <w:kern w:val="2"/>
                <w:sz w:val="21"/>
                <w:szCs w:val="21"/>
              </w:rPr>
              <w:t>、通过全国统一考试取得一级注册建筑师资格证书并符合《注册城乡规划师职业资格制度规定》（以下简称《规定》）中注册城乡规划师职业资格考试报名条件的，可免试《城乡规划原理》和《城乡规划相关知识》科目，只参加《城乡规划管理与法规》和《城乡规划实务》2个科目的考试。在连续的2个考试年度内参加上述科目考试并合格，可取得注册城乡规划师职业资格证书。</w:t>
            </w:r>
          </w:p>
          <w:p>
            <w:pPr>
              <w:pStyle w:val="5"/>
              <w:shd w:val="clear" w:color="auto" w:fill="FFFFFF"/>
              <w:spacing w:before="0" w:beforeAutospacing="0" w:after="0" w:afterAutospacing="0" w:line="375" w:lineRule="atLeast"/>
              <w:ind w:firstLine="420" w:firstLineChars="200"/>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lang w:val="en-US" w:eastAsia="zh-CN"/>
              </w:rPr>
              <w:t>3</w:t>
            </w:r>
            <w:r>
              <w:rPr>
                <w:rFonts w:ascii="Times New Roman" w:hAnsi="Times New Roman" w:cs="Times New Roman"/>
                <w:color w:val="000000"/>
                <w:kern w:val="2"/>
                <w:sz w:val="21"/>
                <w:szCs w:val="21"/>
              </w:rPr>
              <w:t>、符合第（五）项报名条件的，可免试《城乡规划原理》科目，只参加《城乡规划管理与法规》、《城乡规划相关知识》和《城乡规划实务》3个科目的考试。在连续的3个考试年度内参加上述科目考试并合格，可取得注册城乡规划师职业资格证书。</w:t>
            </w:r>
          </w:p>
          <w:p>
            <w:pPr>
              <w:pStyle w:val="5"/>
              <w:shd w:val="clear" w:color="auto" w:fill="FFFFFF"/>
              <w:spacing w:before="0" w:beforeAutospacing="0" w:after="0" w:afterAutospacing="0" w:line="375" w:lineRule="atLeast"/>
              <w:ind w:firstLine="420" w:firstLineChars="200"/>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lang w:val="en-US" w:eastAsia="zh-CN"/>
              </w:rPr>
              <w:t>4</w:t>
            </w:r>
            <w:r>
              <w:rPr>
                <w:rFonts w:ascii="Times New Roman" w:hAnsi="Times New Roman" w:cs="Times New Roman"/>
                <w:color w:val="000000"/>
                <w:kern w:val="2"/>
                <w:sz w:val="21"/>
                <w:szCs w:val="21"/>
              </w:rPr>
              <w:t>、在教育部颁布《普通高等学校本科专业目录（2012年）》之前，高等学校颁发的“城市规划”专业大学本科学历或学位，与《规定》第八条的“城乡规划”专业大学本科学历或学位等同。在国务院学位委员会、教育部颁布《学位授予和人才培养学科目录（2011年）》之前，高等学校颁发的“城市规划”或“城市规划与设计”专业的硕士、博士层次相应学位，与《规定》第八条的“城乡规划”专业的硕士、博士层次相应学位等同。</w:t>
            </w:r>
          </w:p>
          <w:p>
            <w:pPr>
              <w:ind w:firstLine="420" w:firstLineChars="200"/>
              <w:rPr>
                <w:color w:val="000000"/>
                <w:szCs w:val="21"/>
              </w:rPr>
            </w:pPr>
            <w:r>
              <w:rPr>
                <w:rFonts w:hint="eastAsia"/>
                <w:color w:val="000000"/>
                <w:szCs w:val="21"/>
                <w:lang w:val="en-US" w:eastAsia="zh-CN"/>
              </w:rPr>
              <w:t>5</w:t>
            </w:r>
            <w:r>
              <w:rPr>
                <w:color w:val="000000"/>
                <w:szCs w:val="21"/>
              </w:rPr>
              <w:t>、“建筑学学士学位（专业学位）”和“建筑学硕士学位（专业学位）”，是指根据国务院学位委员会颁布的《建筑学专业学位设置方案》，由国务院学位委员会授权的高等学校，在授权期内颁发的建筑学专业相应层次的专业学位，包括“建筑学学士”和“建筑学硕士”两个层次，不包括建筑学专业的工学学士学位、工学硕士学位以及“建筑与土木工程领域”的工程硕士学位。“城市规划硕士学位（专业学位）”是指由国务院学位委员会授权的高等学校，在授权期内颁发的“城市规划硕士”专业学位。</w:t>
            </w:r>
          </w:p>
          <w:p>
            <w:pPr>
              <w:ind w:firstLine="210" w:firstLineChars="100"/>
              <w:rPr>
                <w:color w:val="000000"/>
                <w:szCs w:val="21"/>
              </w:rPr>
            </w:pPr>
          </w:p>
          <w:p>
            <w:pPr>
              <w:ind w:firstLine="210" w:firstLineChars="100"/>
              <w:rPr>
                <w:szCs w:val="21"/>
              </w:rPr>
            </w:pPr>
          </w:p>
          <w:p>
            <w:pPr>
              <w:ind w:firstLine="210" w:firstLineChars="100"/>
              <w:rPr>
                <w:szCs w:val="21"/>
              </w:rPr>
            </w:pPr>
          </w:p>
        </w:tc>
      </w:tr>
    </w:tbl>
    <w:p>
      <w:pPr>
        <w:jc w:val="both"/>
        <w:rPr>
          <w:rFonts w:hint="eastAsia"/>
          <w:b/>
          <w:bCs/>
          <w:sz w:val="44"/>
          <w:szCs w:val="44"/>
          <w:lang w:val="en-US" w:eastAsia="zh-CN"/>
        </w:rPr>
      </w:pPr>
    </w:p>
    <w:tbl>
      <w:tblPr>
        <w:tblStyle w:val="6"/>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660"/>
        <w:gridCol w:w="1513"/>
        <w:gridCol w:w="3060"/>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9" w:type="dxa"/>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660" w:type="dxa"/>
            <w:noWrap w:val="0"/>
            <w:vAlign w:val="center"/>
          </w:tcPr>
          <w:p>
            <w:pPr>
              <w:jc w:val="center"/>
              <w:rPr>
                <w:rFonts w:hint="eastAsia" w:eastAsia="黑体"/>
                <w:b/>
                <w:szCs w:val="21"/>
                <w:lang w:val="en-US" w:eastAsia="zh-CN"/>
              </w:rPr>
            </w:pPr>
            <w:r>
              <w:rPr>
                <w:rFonts w:hint="eastAsia" w:eastAsia="黑体"/>
                <w:b/>
                <w:szCs w:val="21"/>
                <w:lang w:val="en-US" w:eastAsia="zh-CN"/>
              </w:rPr>
              <w:t>级别</w:t>
            </w:r>
          </w:p>
        </w:tc>
        <w:tc>
          <w:tcPr>
            <w:tcW w:w="1513" w:type="dxa"/>
            <w:noWrap w:val="0"/>
            <w:vAlign w:val="center"/>
          </w:tcPr>
          <w:p>
            <w:pPr>
              <w:jc w:val="center"/>
              <w:rPr>
                <w:rFonts w:hint="eastAsia" w:eastAsia="黑体"/>
                <w:b/>
                <w:szCs w:val="21"/>
                <w:lang w:val="en-US" w:eastAsia="zh-CN"/>
              </w:rPr>
            </w:pPr>
            <w:r>
              <w:rPr>
                <w:rFonts w:hint="eastAsia" w:eastAsia="黑体"/>
                <w:b/>
                <w:szCs w:val="21"/>
                <w:lang w:val="en-US" w:eastAsia="zh-CN"/>
              </w:rPr>
              <w:t>所学专业</w:t>
            </w:r>
          </w:p>
        </w:tc>
        <w:tc>
          <w:tcPr>
            <w:tcW w:w="3060" w:type="dxa"/>
            <w:noWrap w:val="0"/>
            <w:vAlign w:val="center"/>
          </w:tcPr>
          <w:p>
            <w:pPr>
              <w:jc w:val="center"/>
              <w:rPr>
                <w:rFonts w:eastAsia="黑体"/>
                <w:b/>
                <w:szCs w:val="21"/>
              </w:rPr>
            </w:pPr>
            <w:r>
              <w:rPr>
                <w:rFonts w:hAnsi="黑体" w:eastAsia="黑体"/>
                <w:b/>
                <w:szCs w:val="21"/>
              </w:rPr>
              <w:t>学位或学历</w:t>
            </w:r>
          </w:p>
        </w:tc>
        <w:tc>
          <w:tcPr>
            <w:tcW w:w="4283" w:type="dxa"/>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restart"/>
            <w:shd w:val="clear" w:color="auto" w:fill="auto"/>
            <w:noWrap w:val="0"/>
            <w:vAlign w:val="top"/>
          </w:tcPr>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hint="eastAsia" w:eastAsia="黑体" w:asciiTheme="minorHAnsi" w:hAnsiTheme="minorHAnsi" w:cstheme="minorBidi"/>
                <w:b/>
                <w:szCs w:val="21"/>
              </w:rPr>
            </w:pPr>
          </w:p>
          <w:p>
            <w:pPr>
              <w:jc w:val="center"/>
              <w:rPr>
                <w:rFonts w:hint="eastAsia" w:eastAsia="黑体" w:asciiTheme="minorHAnsi" w:hAnsiTheme="minorHAnsi" w:cstheme="minorBidi"/>
                <w:b/>
                <w:szCs w:val="21"/>
              </w:rPr>
            </w:pPr>
          </w:p>
          <w:p>
            <w:pPr>
              <w:jc w:val="center"/>
              <w:rPr>
                <w:rFonts w:hint="eastAsia"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p>
          <w:p>
            <w:pPr>
              <w:jc w:val="center"/>
              <w:rPr>
                <w:rFonts w:eastAsia="黑体" w:asciiTheme="minorHAnsi" w:hAnsiTheme="minorHAnsi" w:cstheme="minorBidi"/>
                <w:b/>
                <w:szCs w:val="21"/>
              </w:rPr>
            </w:pPr>
            <w:r>
              <w:rPr>
                <w:rFonts w:eastAsia="黑体" w:asciiTheme="minorHAnsi" w:hAnsiTheme="minorHAnsi" w:cstheme="minorBidi"/>
                <w:b/>
                <w:szCs w:val="21"/>
              </w:rPr>
              <w:t>出</w:t>
            </w:r>
          </w:p>
          <w:p>
            <w:pPr>
              <w:jc w:val="center"/>
              <w:rPr>
                <w:rFonts w:asciiTheme="minorHAnsi" w:hAnsiTheme="minorHAnsi" w:eastAsiaTheme="minorEastAsia" w:cstheme="minorBidi"/>
                <w:b/>
                <w:bCs/>
                <w:sz w:val="44"/>
                <w:szCs w:val="44"/>
              </w:rPr>
            </w:pPr>
            <w:r>
              <w:rPr>
                <w:rFonts w:eastAsia="黑体" w:asciiTheme="minorHAnsi" w:hAnsiTheme="minorHAnsi" w:cstheme="minorBidi"/>
                <w:b/>
                <w:szCs w:val="21"/>
              </w:rPr>
              <w:t>版</w:t>
            </w:r>
          </w:p>
        </w:tc>
        <w:tc>
          <w:tcPr>
            <w:tcW w:w="660" w:type="dxa"/>
            <w:vMerge w:val="restart"/>
            <w:shd w:val="clear" w:color="auto" w:fill="auto"/>
            <w:noWrap w:val="0"/>
            <w:vAlign w:val="center"/>
          </w:tcPr>
          <w:p>
            <w:pPr>
              <w:tabs>
                <w:tab w:val="left" w:pos="6072"/>
              </w:tabs>
              <w:jc w:val="center"/>
              <w:rPr>
                <w:rFonts w:asciiTheme="minorHAnsi" w:hAnsiTheme="minorHAnsi" w:eastAsiaTheme="minorEastAsia" w:cstheme="minorBidi"/>
                <w:szCs w:val="21"/>
              </w:rPr>
            </w:pPr>
            <w:r>
              <w:rPr>
                <w:rFonts w:asciiTheme="minorHAnsi" w:hAnsiTheme="minorHAnsi" w:eastAsiaTheme="minorEastAsia" w:cstheme="minorBidi"/>
                <w:szCs w:val="21"/>
              </w:rPr>
              <w:t>中级</w:t>
            </w:r>
          </w:p>
        </w:tc>
        <w:tc>
          <w:tcPr>
            <w:tcW w:w="1513" w:type="dxa"/>
            <w:vMerge w:val="restart"/>
            <w:shd w:val="clear" w:color="auto" w:fill="auto"/>
            <w:noWrap w:val="0"/>
            <w:vAlign w:val="center"/>
          </w:tcPr>
          <w:p>
            <w:pPr>
              <w:tabs>
                <w:tab w:val="left" w:pos="6072"/>
              </w:tabs>
              <w:jc w:val="center"/>
              <w:rPr>
                <w:rFonts w:asciiTheme="minorHAnsi" w:hAnsiTheme="minorHAnsi" w:eastAsiaTheme="minorEastAsia" w:cstheme="minorBidi"/>
                <w:szCs w:val="21"/>
              </w:rPr>
            </w:pPr>
            <w:r>
              <w:rPr>
                <w:rFonts w:asciiTheme="minorHAnsi" w:hAnsiTheme="minorHAnsi" w:eastAsiaTheme="minorEastAsia" w:cstheme="minorBidi"/>
                <w:szCs w:val="21"/>
              </w:rPr>
              <w:t>不限</w:t>
            </w: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大专</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从事出版专业工作满5年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1513"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本科</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从事出版专业工作满4年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1513"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双学士或研究生班</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从事出版专业工作满2年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1513"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硕士学位</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从事出版专业工作满1年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1513"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博士学位</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8856" w:type="dxa"/>
            <w:gridSpan w:val="3"/>
            <w:shd w:val="clear" w:color="auto" w:fill="auto"/>
            <w:noWrap w:val="0"/>
            <w:vAlign w:val="center"/>
          </w:tcPr>
          <w:p>
            <w:pPr>
              <w:widowControl/>
              <w:ind w:firstLine="420" w:firstLineChars="200"/>
              <w:rPr>
                <w:rFonts w:asciiTheme="minorHAnsi" w:hAnsiTheme="minorHAnsi" w:eastAsiaTheme="minorEastAsia" w:cstheme="minorBidi"/>
                <w:szCs w:val="21"/>
              </w:rPr>
            </w:pPr>
            <w:r>
              <w:rPr>
                <w:rFonts w:asciiTheme="minorHAnsi" w:hAnsiTheme="minorHAnsi" w:eastAsiaTheme="minorEastAsia" w:cstheme="minorBidi"/>
                <w:szCs w:val="21"/>
              </w:rPr>
              <w:t>具备下列条件之一也可报考：</w:t>
            </w:r>
          </w:p>
          <w:p>
            <w:pPr>
              <w:widowControl/>
              <w:ind w:firstLine="420" w:firstLineChars="200"/>
              <w:rPr>
                <w:rFonts w:asciiTheme="minorHAnsi" w:hAnsiTheme="minorHAnsi" w:eastAsiaTheme="minorEastAsia" w:cstheme="minorBidi"/>
                <w:szCs w:val="21"/>
              </w:rPr>
            </w:pPr>
            <w:r>
              <w:rPr>
                <w:rFonts w:asciiTheme="minorHAnsi" w:hAnsiTheme="minorHAnsi" w:eastAsiaTheme="minorEastAsia" w:cstheme="minorBidi"/>
                <w:szCs w:val="21"/>
              </w:rPr>
              <w:t>1、2001年8月7日前，已受聘担任助理编辑、助理技术编辑、二级校对专业技术职务满4年。</w:t>
            </w:r>
          </w:p>
          <w:p>
            <w:pPr>
              <w:ind w:firstLine="420" w:firstLineChars="200"/>
              <w:rPr>
                <w:rFonts w:asciiTheme="minorHAnsi" w:hAnsiTheme="minorHAnsi" w:eastAsiaTheme="minorEastAsia" w:cstheme="minorBidi"/>
                <w:szCs w:val="21"/>
              </w:rPr>
            </w:pPr>
            <w:r>
              <w:rPr>
                <w:rFonts w:asciiTheme="minorHAnsi" w:hAnsiTheme="minorHAnsi" w:eastAsiaTheme="minorEastAsia" w:cstheme="minorBidi"/>
                <w:szCs w:val="21"/>
              </w:rPr>
              <w:t>2、2001年8月7日前，已受聘担任非出版专业中级专业技术职务，从事出版技术岗位工作满1年。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restart"/>
            <w:shd w:val="clear" w:color="auto" w:fill="auto"/>
            <w:noWrap w:val="0"/>
            <w:vAlign w:val="top"/>
          </w:tcPr>
          <w:p>
            <w:pPr>
              <w:tabs>
                <w:tab w:val="left" w:pos="6072"/>
              </w:tabs>
              <w:rPr>
                <w:rFonts w:asciiTheme="minorHAnsi" w:hAnsiTheme="minorHAnsi" w:eastAsiaTheme="minorEastAsia" w:cstheme="minorBidi"/>
                <w:szCs w:val="21"/>
              </w:rPr>
            </w:pPr>
          </w:p>
          <w:p>
            <w:pPr>
              <w:tabs>
                <w:tab w:val="left" w:pos="6072"/>
              </w:tabs>
              <w:rPr>
                <w:rFonts w:asciiTheme="minorHAnsi" w:hAnsiTheme="minorHAnsi" w:eastAsiaTheme="minorEastAsia" w:cstheme="minorBidi"/>
                <w:szCs w:val="21"/>
              </w:rPr>
            </w:pPr>
          </w:p>
          <w:p>
            <w:pPr>
              <w:tabs>
                <w:tab w:val="left" w:pos="6072"/>
              </w:tabs>
              <w:rPr>
                <w:rFonts w:asciiTheme="minorHAnsi" w:hAnsiTheme="minorHAnsi" w:eastAsiaTheme="minorEastAsia" w:cstheme="minorBidi"/>
                <w:szCs w:val="21"/>
              </w:rPr>
            </w:pPr>
          </w:p>
          <w:p>
            <w:pPr>
              <w:tabs>
                <w:tab w:val="left" w:pos="6072"/>
              </w:tabs>
              <w:rPr>
                <w:rFonts w:asciiTheme="minorHAnsi" w:hAnsiTheme="minorHAnsi" w:eastAsiaTheme="minorEastAsia" w:cstheme="minorBidi"/>
                <w:szCs w:val="21"/>
              </w:rPr>
            </w:pPr>
            <w:r>
              <w:rPr>
                <w:rFonts w:asciiTheme="minorHAnsi" w:hAnsiTheme="minorHAnsi" w:eastAsiaTheme="minorEastAsia" w:cstheme="minorBidi"/>
                <w:szCs w:val="21"/>
              </w:rPr>
              <w:t>初级</w:t>
            </w:r>
          </w:p>
        </w:tc>
        <w:tc>
          <w:tcPr>
            <w:tcW w:w="1513" w:type="dxa"/>
            <w:shd w:val="clear" w:color="auto" w:fill="auto"/>
            <w:noWrap w:val="0"/>
            <w:vAlign w:val="center"/>
          </w:tcPr>
          <w:p>
            <w:pPr>
              <w:ind w:firstLine="420" w:firstLineChars="200"/>
              <w:rPr>
                <w:rFonts w:asciiTheme="minorHAnsi" w:hAnsiTheme="minorHAnsi" w:eastAsiaTheme="minorEastAsia" w:cstheme="minorBidi"/>
                <w:szCs w:val="21"/>
              </w:rPr>
            </w:pPr>
            <w:r>
              <w:rPr>
                <w:rFonts w:asciiTheme="minorHAnsi" w:hAnsiTheme="minorHAnsi" w:eastAsiaTheme="minorEastAsia" w:cstheme="minorBidi"/>
                <w:szCs w:val="21"/>
              </w:rPr>
              <w:t>不限</w:t>
            </w:r>
          </w:p>
        </w:tc>
        <w:tc>
          <w:tcPr>
            <w:tcW w:w="3060"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大专及以上</w:t>
            </w:r>
          </w:p>
        </w:tc>
        <w:tc>
          <w:tcPr>
            <w:tcW w:w="4283" w:type="dxa"/>
            <w:noWrap w:val="0"/>
            <w:vAlign w:val="center"/>
          </w:tcPr>
          <w:p>
            <w:pPr>
              <w:widowControl/>
              <w:jc w:val="left"/>
              <w:rPr>
                <w:rFonts w:asciiTheme="minorHAnsi" w:hAnsiTheme="minorHAnsi" w:eastAsiaTheme="minorEastAsia" w:cstheme="minorBidi"/>
                <w:szCs w:val="21"/>
              </w:rPr>
            </w:pPr>
            <w:r>
              <w:rPr>
                <w:rFonts w:asciiTheme="minorHAnsi" w:hAnsiTheme="minorHAnsi" w:eastAsiaTheme="minorEastAsia" w:cstheme="minorBidi"/>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exact"/>
          <w:jc w:val="center"/>
        </w:trPr>
        <w:tc>
          <w:tcPr>
            <w:tcW w:w="849" w:type="dxa"/>
            <w:vMerge w:val="continue"/>
            <w:shd w:val="clear" w:color="auto" w:fill="auto"/>
            <w:noWrap w:val="0"/>
            <w:vAlign w:val="top"/>
          </w:tcPr>
          <w:p>
            <w:pPr>
              <w:rPr>
                <w:rFonts w:asciiTheme="minorHAnsi" w:hAnsiTheme="minorHAnsi" w:eastAsiaTheme="minorEastAsia" w:cstheme="minorBidi"/>
                <w:b/>
                <w:bCs/>
                <w:sz w:val="44"/>
                <w:szCs w:val="44"/>
              </w:rPr>
            </w:pPr>
          </w:p>
        </w:tc>
        <w:tc>
          <w:tcPr>
            <w:tcW w:w="660" w:type="dxa"/>
            <w:vMerge w:val="continue"/>
            <w:shd w:val="clear" w:color="auto" w:fill="auto"/>
            <w:noWrap w:val="0"/>
            <w:vAlign w:val="top"/>
          </w:tcPr>
          <w:p>
            <w:pPr>
              <w:tabs>
                <w:tab w:val="left" w:pos="6072"/>
              </w:tabs>
              <w:ind w:firstLine="210" w:firstLineChars="100"/>
              <w:rPr>
                <w:rFonts w:asciiTheme="minorHAnsi" w:hAnsiTheme="minorHAnsi" w:eastAsiaTheme="minorEastAsia" w:cstheme="minorBidi"/>
                <w:szCs w:val="21"/>
              </w:rPr>
            </w:pPr>
          </w:p>
        </w:tc>
        <w:tc>
          <w:tcPr>
            <w:tcW w:w="8856" w:type="dxa"/>
            <w:gridSpan w:val="3"/>
            <w:shd w:val="clear" w:color="auto" w:fill="auto"/>
            <w:noWrap w:val="0"/>
            <w:vAlign w:val="top"/>
          </w:tcPr>
          <w:p>
            <w:pPr>
              <w:widowControl/>
              <w:ind w:firstLine="420" w:firstLineChars="200"/>
              <w:rPr>
                <w:rFonts w:asciiTheme="minorHAnsi" w:hAnsiTheme="minorHAnsi" w:eastAsiaTheme="minorEastAsia" w:cstheme="minorBidi"/>
                <w:szCs w:val="21"/>
              </w:rPr>
            </w:pPr>
          </w:p>
          <w:p>
            <w:pPr>
              <w:widowControl/>
              <w:ind w:firstLine="420" w:firstLineChars="200"/>
              <w:rPr>
                <w:rFonts w:asciiTheme="minorHAnsi" w:hAnsiTheme="minorHAnsi" w:eastAsiaTheme="minorEastAsia" w:cstheme="minorBidi"/>
                <w:szCs w:val="21"/>
              </w:rPr>
            </w:pPr>
            <w:r>
              <w:rPr>
                <w:rFonts w:asciiTheme="minorHAnsi" w:hAnsiTheme="minorHAnsi" w:eastAsiaTheme="minorEastAsia" w:cstheme="minorBidi"/>
                <w:szCs w:val="21"/>
              </w:rPr>
              <w:t>具备下列条件之一也可报考：</w:t>
            </w:r>
          </w:p>
          <w:p>
            <w:pPr>
              <w:widowControl/>
              <w:ind w:firstLine="420" w:firstLineChars="200"/>
              <w:jc w:val="left"/>
              <w:rPr>
                <w:rFonts w:asciiTheme="minorHAnsi" w:hAnsiTheme="minorHAnsi" w:eastAsiaTheme="minorEastAsia" w:cstheme="minorBidi"/>
                <w:szCs w:val="21"/>
              </w:rPr>
            </w:pPr>
            <w:r>
              <w:rPr>
                <w:rFonts w:asciiTheme="minorHAnsi" w:hAnsiTheme="minorHAnsi" w:eastAsiaTheme="minorEastAsia" w:cstheme="minorBidi"/>
                <w:szCs w:val="21"/>
              </w:rPr>
              <w:t>1、2001年8月7日前，已受聘担任技术设计员或三级校对专业技术职务的。</w:t>
            </w:r>
          </w:p>
          <w:p>
            <w:pPr>
              <w:widowControl/>
              <w:ind w:firstLine="420" w:firstLineChars="200"/>
              <w:jc w:val="left"/>
              <w:rPr>
                <w:rFonts w:asciiTheme="minorHAnsi" w:hAnsiTheme="minorHAnsi" w:eastAsiaTheme="minorEastAsia" w:cstheme="minorBidi"/>
                <w:szCs w:val="21"/>
              </w:rPr>
            </w:pPr>
            <w:r>
              <w:rPr>
                <w:rFonts w:asciiTheme="minorHAnsi" w:hAnsiTheme="minorHAnsi" w:eastAsiaTheme="minorEastAsia" w:cstheme="minorBidi"/>
                <w:szCs w:val="21"/>
              </w:rPr>
              <w:t>2、按照人事部办公厅《关于部分专业技术人员资格考试安排和考试工作有关问题的通知》（国人厅发[2004]45号）精神，报名时尚未获得学历证书的应届毕业生，可持能够证明其在考试年度可毕业的有效证件（如学生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exact"/>
          <w:jc w:val="center"/>
        </w:trPr>
        <w:tc>
          <w:tcPr>
            <w:tcW w:w="849" w:type="dxa"/>
            <w:vMerge w:val="continue"/>
            <w:noWrap w:val="0"/>
            <w:vAlign w:val="top"/>
          </w:tcPr>
          <w:p>
            <w:pPr>
              <w:rPr>
                <w:rFonts w:asciiTheme="minorHAnsi" w:hAnsiTheme="minorHAnsi" w:eastAsiaTheme="minorEastAsia" w:cstheme="minorBidi"/>
                <w:b/>
                <w:bCs/>
                <w:sz w:val="44"/>
                <w:szCs w:val="44"/>
              </w:rPr>
            </w:pPr>
          </w:p>
        </w:tc>
        <w:tc>
          <w:tcPr>
            <w:tcW w:w="9516" w:type="dxa"/>
            <w:gridSpan w:val="4"/>
            <w:noWrap w:val="0"/>
            <w:vAlign w:val="top"/>
          </w:tcPr>
          <w:p>
            <w:pPr>
              <w:widowControl/>
              <w:numPr>
                <w:ilvl w:val="0"/>
                <w:numId w:val="0"/>
              </w:numPr>
              <w:ind w:firstLine="420" w:firstLineChars="200"/>
              <w:jc w:val="left"/>
              <w:rPr>
                <w:rFonts w:hint="eastAsia" w:ascii="宋体" w:hAnsi="宋体" w:eastAsia="宋体" w:cs="宋体"/>
                <w:lang w:val="en-US" w:eastAsia="zh-CN"/>
              </w:rPr>
            </w:pPr>
          </w:p>
          <w:p>
            <w:pPr>
              <w:widowControl/>
              <w:numPr>
                <w:ilvl w:val="0"/>
                <w:numId w:val="0"/>
              </w:numPr>
              <w:ind w:firstLine="420" w:firstLineChars="200"/>
              <w:jc w:val="left"/>
              <w:rPr>
                <w:rFonts w:hint="eastAsia" w:ascii="宋体" w:hAnsi="宋体" w:eastAsia="宋体" w:cs="宋体"/>
                <w:lang w:val="en-US" w:eastAsia="zh-CN"/>
              </w:rPr>
            </w:pPr>
          </w:p>
          <w:p>
            <w:pPr>
              <w:widowControl/>
              <w:numPr>
                <w:ilvl w:val="0"/>
                <w:numId w:val="0"/>
              </w:numPr>
              <w:ind w:firstLine="420" w:firstLineChars="200"/>
              <w:jc w:val="left"/>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符合原人事部、原新闻出版总署《关于印发〈出版专业技术人员职业资格考试暂行规定〉和〈出版专业技术人员职业资格考试实施办法〉的通知》（人发〔2001〕86号）和原人事部办公厅《关于部分专业技术人员资格考试安排和考试工作有关问题的通知》（国人厅发〔2004〕45号）规定报考条件的人员，互联网出版专业技术人员可报名参加出版专业技术人员职业资格考试。</w:t>
            </w:r>
          </w:p>
          <w:p>
            <w:pPr>
              <w:widowControl/>
              <w:numPr>
                <w:ilvl w:val="0"/>
                <w:numId w:val="0"/>
              </w:numPr>
              <w:ind w:firstLine="420" w:firstLineChars="200"/>
              <w:jc w:val="left"/>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asciiTheme="minorHAnsi" w:hAnsiTheme="minorHAnsi" w:eastAsiaTheme="minorEastAsia" w:cstheme="minorBidi"/>
                <w:szCs w:val="21"/>
              </w:rPr>
              <w:t>2001年8月7日前，按国家统一规定已受聘担任出版专业初级或中级专业技术职务人员，免试相应级别《出版专业基础知识》科目，只参加相应级别《出版专业理论与实务》1个科目的考试。</w:t>
            </w:r>
          </w:p>
          <w:p>
            <w:pPr>
              <w:widowControl/>
              <w:numPr>
                <w:ilvl w:val="0"/>
                <w:numId w:val="0"/>
              </w:numPr>
              <w:ind w:firstLine="420" w:firstLineChars="200"/>
              <w:jc w:val="left"/>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3、</w:t>
            </w:r>
            <w:r>
              <w:rPr>
                <w:rFonts w:asciiTheme="minorHAnsi" w:hAnsiTheme="minorHAnsi" w:eastAsiaTheme="minorEastAsia" w:cstheme="minorBidi"/>
                <w:szCs w:val="21"/>
              </w:rPr>
              <w:t>考试成绩实行非滚动管理。报考人员须在当年通过应试科目，方可取得资格证书。</w:t>
            </w:r>
          </w:p>
          <w:p>
            <w:pPr>
              <w:widowControl/>
              <w:ind w:firstLine="210" w:firstLineChars="100"/>
              <w:rPr>
                <w:rFonts w:hint="eastAsia" w:asciiTheme="minorHAnsi" w:hAnsiTheme="minorHAnsi" w:eastAsiaTheme="minorEastAsia" w:cstheme="minorBidi"/>
                <w:szCs w:val="21"/>
              </w:rPr>
            </w:pP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tbl>
      <w:tblPr>
        <w:tblStyle w:val="6"/>
        <w:tblW w:w="9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776"/>
        <w:gridCol w:w="2160"/>
        <w:gridCol w:w="4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noWrap w:val="0"/>
            <w:vAlign w:val="top"/>
          </w:tcPr>
          <w:p>
            <w:pPr>
              <w:widowControl/>
              <w:jc w:val="center"/>
              <w:rPr>
                <w:color w:val="000000"/>
                <w:kern w:val="0"/>
                <w:szCs w:val="21"/>
              </w:rPr>
            </w:pPr>
            <w:r>
              <w:rPr>
                <w:b/>
                <w:bCs/>
                <w:color w:val="000000"/>
                <w:kern w:val="0"/>
                <w:szCs w:val="21"/>
              </w:rPr>
              <w:t>考试</w:t>
            </w:r>
          </w:p>
          <w:p>
            <w:pPr>
              <w:widowControl/>
              <w:jc w:val="center"/>
              <w:rPr>
                <w:b/>
                <w:bCs/>
                <w:color w:val="000000"/>
                <w:kern w:val="0"/>
                <w:szCs w:val="21"/>
              </w:rPr>
            </w:pPr>
            <w:r>
              <w:rPr>
                <w:b/>
                <w:bCs/>
                <w:color w:val="000000"/>
                <w:kern w:val="0"/>
                <w:szCs w:val="21"/>
              </w:rPr>
              <w:t>类别</w:t>
            </w:r>
          </w:p>
        </w:tc>
        <w:tc>
          <w:tcPr>
            <w:tcW w:w="2776" w:type="dxa"/>
            <w:noWrap w:val="0"/>
            <w:vAlign w:val="center"/>
          </w:tcPr>
          <w:p>
            <w:pPr>
              <w:widowControl/>
              <w:jc w:val="center"/>
              <w:rPr>
                <w:rFonts w:hint="default" w:eastAsia="宋体"/>
                <w:b/>
                <w:bCs/>
                <w:color w:val="000000"/>
                <w:kern w:val="0"/>
                <w:szCs w:val="21"/>
                <w:lang w:val="en-US" w:eastAsia="zh-CN"/>
              </w:rPr>
            </w:pPr>
            <w:r>
              <w:rPr>
                <w:b/>
                <w:bCs/>
                <w:color w:val="000000"/>
                <w:kern w:val="0"/>
                <w:szCs w:val="21"/>
              </w:rPr>
              <w:t>所学专业</w:t>
            </w:r>
            <w:r>
              <w:rPr>
                <w:rFonts w:hint="eastAsia"/>
                <w:b/>
                <w:bCs/>
                <w:color w:val="000000"/>
                <w:kern w:val="0"/>
                <w:szCs w:val="21"/>
                <w:lang w:val="en-US" w:eastAsia="zh-CN"/>
              </w:rPr>
              <w:t>或职称</w:t>
            </w:r>
          </w:p>
        </w:tc>
        <w:tc>
          <w:tcPr>
            <w:tcW w:w="2160" w:type="dxa"/>
            <w:noWrap w:val="0"/>
            <w:vAlign w:val="center"/>
          </w:tcPr>
          <w:p>
            <w:pPr>
              <w:widowControl/>
              <w:jc w:val="center"/>
              <w:rPr>
                <w:b/>
                <w:bCs/>
                <w:color w:val="000000"/>
                <w:kern w:val="0"/>
                <w:szCs w:val="21"/>
              </w:rPr>
            </w:pPr>
            <w:r>
              <w:rPr>
                <w:b/>
                <w:bCs/>
                <w:color w:val="000000"/>
                <w:kern w:val="0"/>
                <w:szCs w:val="21"/>
              </w:rPr>
              <w:t>学位或学历</w:t>
            </w:r>
          </w:p>
        </w:tc>
        <w:tc>
          <w:tcPr>
            <w:tcW w:w="4187" w:type="dxa"/>
            <w:noWrap w:val="0"/>
            <w:vAlign w:val="center"/>
          </w:tcPr>
          <w:p>
            <w:pPr>
              <w:widowControl/>
              <w:jc w:val="center"/>
              <w:rPr>
                <w:b/>
                <w:bCs/>
                <w:color w:val="000000"/>
                <w:kern w:val="0"/>
                <w:szCs w:val="21"/>
              </w:rPr>
            </w:pPr>
            <w:r>
              <w:rPr>
                <w:b/>
                <w:bCs/>
                <w:color w:val="000000"/>
                <w:kern w:val="0"/>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8" w:type="dxa"/>
            <w:vMerge w:val="restart"/>
            <w:shd w:val="clear" w:color="auto" w:fill="auto"/>
            <w:noWrap w:val="0"/>
            <w:vAlign w:val="center"/>
          </w:tcPr>
          <w:p>
            <w:pPr>
              <w:jc w:val="center"/>
              <w:rPr>
                <w:rFonts w:eastAsia="黑体"/>
                <w:b/>
                <w:szCs w:val="21"/>
              </w:rPr>
            </w:pPr>
            <w:r>
              <w:rPr>
                <w:rFonts w:eastAsia="黑体"/>
                <w:b/>
                <w:szCs w:val="21"/>
              </w:rPr>
              <w:t>一</w:t>
            </w:r>
          </w:p>
          <w:p>
            <w:pPr>
              <w:jc w:val="center"/>
              <w:rPr>
                <w:rFonts w:eastAsia="黑体"/>
                <w:b/>
                <w:szCs w:val="21"/>
              </w:rPr>
            </w:pPr>
            <w:r>
              <w:rPr>
                <w:rFonts w:eastAsia="黑体"/>
                <w:b/>
                <w:szCs w:val="21"/>
              </w:rPr>
              <w:t>级</w:t>
            </w:r>
          </w:p>
          <w:p>
            <w:pPr>
              <w:jc w:val="center"/>
              <w:rPr>
                <w:rFonts w:eastAsia="黑体"/>
                <w:b/>
                <w:szCs w:val="21"/>
              </w:rPr>
            </w:pPr>
            <w:r>
              <w:rPr>
                <w:rFonts w:eastAsia="黑体"/>
                <w:b/>
                <w:szCs w:val="21"/>
              </w:rPr>
              <w:t>造</w:t>
            </w:r>
          </w:p>
          <w:p>
            <w:pPr>
              <w:jc w:val="center"/>
              <w:rPr>
                <w:rFonts w:eastAsia="黑体"/>
                <w:b/>
                <w:szCs w:val="21"/>
              </w:rPr>
            </w:pPr>
            <w:r>
              <w:rPr>
                <w:rFonts w:eastAsia="黑体"/>
                <w:b/>
                <w:szCs w:val="21"/>
              </w:rPr>
              <w:t>价</w:t>
            </w:r>
          </w:p>
          <w:p>
            <w:pPr>
              <w:jc w:val="center"/>
              <w:rPr>
                <w:rFonts w:eastAsia="黑体"/>
                <w:b/>
                <w:szCs w:val="21"/>
              </w:rPr>
            </w:pPr>
            <w:r>
              <w:rPr>
                <w:rFonts w:eastAsia="黑体"/>
                <w:b/>
                <w:szCs w:val="21"/>
              </w:rPr>
              <w:t>工</w:t>
            </w:r>
          </w:p>
          <w:p>
            <w:pPr>
              <w:jc w:val="center"/>
              <w:rPr>
                <w:rFonts w:eastAsia="黑体"/>
                <w:b/>
                <w:szCs w:val="21"/>
              </w:rPr>
            </w:pPr>
            <w:r>
              <w:rPr>
                <w:rFonts w:eastAsia="黑体"/>
                <w:b/>
                <w:szCs w:val="21"/>
              </w:rPr>
              <w:t>程</w:t>
            </w:r>
          </w:p>
          <w:p>
            <w:pPr>
              <w:jc w:val="center"/>
              <w:rPr>
                <w:szCs w:val="21"/>
              </w:rPr>
            </w:pPr>
            <w:r>
              <w:rPr>
                <w:rFonts w:eastAsia="黑体"/>
                <w:b/>
                <w:szCs w:val="21"/>
              </w:rPr>
              <w:t>师</w:t>
            </w:r>
          </w:p>
        </w:tc>
        <w:tc>
          <w:tcPr>
            <w:tcW w:w="2776" w:type="dxa"/>
            <w:shd w:val="clear" w:color="auto" w:fill="auto"/>
            <w:noWrap w:val="0"/>
            <w:vAlign w:val="center"/>
          </w:tcPr>
          <w:p>
            <w:pPr>
              <w:widowControl/>
              <w:jc w:val="center"/>
              <w:rPr>
                <w:szCs w:val="21"/>
              </w:rPr>
            </w:pPr>
            <w:r>
              <w:rPr>
                <w:szCs w:val="21"/>
              </w:rPr>
              <w:t>工程造价</w:t>
            </w:r>
          </w:p>
        </w:tc>
        <w:tc>
          <w:tcPr>
            <w:tcW w:w="2160" w:type="dxa"/>
            <w:vMerge w:val="restart"/>
            <w:noWrap w:val="0"/>
            <w:vAlign w:val="center"/>
          </w:tcPr>
          <w:p>
            <w:pPr>
              <w:widowControl/>
              <w:jc w:val="center"/>
              <w:rPr>
                <w:szCs w:val="21"/>
              </w:rPr>
            </w:pPr>
            <w:r>
              <w:rPr>
                <w:szCs w:val="21"/>
              </w:rPr>
              <w:t>大学专科</w:t>
            </w:r>
          </w:p>
          <w:p>
            <w:pPr>
              <w:widowControl/>
              <w:jc w:val="center"/>
              <w:rPr>
                <w:szCs w:val="21"/>
              </w:rPr>
            </w:pPr>
            <w:r>
              <w:rPr>
                <w:szCs w:val="21"/>
              </w:rPr>
              <w:t>（或高等职业教育）</w:t>
            </w:r>
          </w:p>
        </w:tc>
        <w:tc>
          <w:tcPr>
            <w:tcW w:w="4187" w:type="dxa"/>
            <w:noWrap w:val="0"/>
            <w:vAlign w:val="center"/>
          </w:tcPr>
          <w:p>
            <w:pPr>
              <w:widowControl/>
              <w:rPr>
                <w:szCs w:val="21"/>
              </w:rPr>
            </w:pPr>
            <w:r>
              <w:rPr>
                <w:szCs w:val="21"/>
              </w:rPr>
              <w:t>从事工程造价业务工作满5年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848" w:type="dxa"/>
            <w:vMerge w:val="continue"/>
            <w:shd w:val="clear" w:color="auto" w:fill="auto"/>
            <w:noWrap w:val="0"/>
            <w:vAlign w:val="center"/>
          </w:tcPr>
          <w:p>
            <w:pPr>
              <w:rPr>
                <w:szCs w:val="21"/>
              </w:rPr>
            </w:pPr>
          </w:p>
        </w:tc>
        <w:tc>
          <w:tcPr>
            <w:tcW w:w="2776" w:type="dxa"/>
            <w:shd w:val="clear" w:color="auto" w:fill="auto"/>
            <w:noWrap w:val="0"/>
            <w:vAlign w:val="center"/>
          </w:tcPr>
          <w:p>
            <w:pPr>
              <w:tabs>
                <w:tab w:val="left" w:pos="6072"/>
              </w:tabs>
              <w:rPr>
                <w:szCs w:val="21"/>
              </w:rPr>
            </w:pPr>
            <w:r>
              <w:rPr>
                <w:szCs w:val="21"/>
              </w:rPr>
              <w:t>土木建筑、水利、装备制造、交通运输、电子信息、财经商贸大类</w:t>
            </w:r>
          </w:p>
        </w:tc>
        <w:tc>
          <w:tcPr>
            <w:tcW w:w="2160" w:type="dxa"/>
            <w:vMerge w:val="continue"/>
            <w:noWrap w:val="0"/>
            <w:vAlign w:val="center"/>
          </w:tcPr>
          <w:p>
            <w:pPr>
              <w:widowControl/>
              <w:rPr>
                <w:szCs w:val="21"/>
              </w:rPr>
            </w:pPr>
          </w:p>
        </w:tc>
        <w:tc>
          <w:tcPr>
            <w:tcW w:w="4187" w:type="dxa"/>
            <w:noWrap w:val="0"/>
            <w:vAlign w:val="center"/>
          </w:tcPr>
          <w:p>
            <w:pPr>
              <w:widowControl/>
              <w:rPr>
                <w:szCs w:val="21"/>
              </w:rPr>
            </w:pPr>
            <w:r>
              <w:rPr>
                <w:szCs w:val="21"/>
              </w:rPr>
              <w:t>从事工程造价业务工作满6年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848" w:type="dxa"/>
            <w:vMerge w:val="continue"/>
            <w:shd w:val="clear" w:color="auto" w:fill="auto"/>
            <w:noWrap w:val="0"/>
            <w:vAlign w:val="center"/>
          </w:tcPr>
          <w:p>
            <w:pPr>
              <w:rPr>
                <w:szCs w:val="21"/>
              </w:rPr>
            </w:pPr>
          </w:p>
        </w:tc>
        <w:tc>
          <w:tcPr>
            <w:tcW w:w="2776" w:type="dxa"/>
            <w:shd w:val="clear" w:color="auto" w:fill="auto"/>
            <w:noWrap w:val="0"/>
            <w:vAlign w:val="center"/>
          </w:tcPr>
          <w:p>
            <w:pPr>
              <w:tabs>
                <w:tab w:val="left" w:pos="6072"/>
              </w:tabs>
              <w:rPr>
                <w:szCs w:val="21"/>
              </w:rPr>
            </w:pPr>
            <w:r>
              <w:rPr>
                <w:szCs w:val="21"/>
              </w:rPr>
              <w:t>通过工程教育专业评估（认证）的工程管理、工程造价专业</w:t>
            </w:r>
          </w:p>
        </w:tc>
        <w:tc>
          <w:tcPr>
            <w:tcW w:w="2160" w:type="dxa"/>
            <w:noWrap w:val="0"/>
            <w:vAlign w:val="center"/>
          </w:tcPr>
          <w:p>
            <w:pPr>
              <w:widowControl/>
              <w:rPr>
                <w:szCs w:val="21"/>
              </w:rPr>
            </w:pPr>
            <w:r>
              <w:rPr>
                <w:szCs w:val="21"/>
              </w:rPr>
              <w:t>大学本科</w:t>
            </w:r>
          </w:p>
          <w:p>
            <w:pPr>
              <w:widowControl/>
              <w:rPr>
                <w:szCs w:val="21"/>
              </w:rPr>
            </w:pPr>
            <w:r>
              <w:rPr>
                <w:szCs w:val="21"/>
              </w:rPr>
              <w:t>学历或学位</w:t>
            </w:r>
          </w:p>
        </w:tc>
        <w:tc>
          <w:tcPr>
            <w:tcW w:w="4187" w:type="dxa"/>
            <w:noWrap w:val="0"/>
            <w:vAlign w:val="center"/>
          </w:tcPr>
          <w:p>
            <w:pPr>
              <w:widowControl/>
              <w:rPr>
                <w:szCs w:val="21"/>
              </w:rPr>
            </w:pPr>
            <w:r>
              <w:rPr>
                <w:szCs w:val="21"/>
              </w:rPr>
              <w:t>从事工程造价业务工作满4年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848" w:type="dxa"/>
            <w:vMerge w:val="continue"/>
            <w:shd w:val="clear" w:color="auto" w:fill="auto"/>
            <w:noWrap w:val="0"/>
            <w:vAlign w:val="center"/>
          </w:tcPr>
          <w:p>
            <w:pPr>
              <w:rPr>
                <w:szCs w:val="21"/>
              </w:rPr>
            </w:pPr>
          </w:p>
        </w:tc>
        <w:tc>
          <w:tcPr>
            <w:tcW w:w="2776" w:type="dxa"/>
            <w:shd w:val="clear" w:color="auto" w:fill="auto"/>
            <w:noWrap w:val="0"/>
            <w:vAlign w:val="center"/>
          </w:tcPr>
          <w:p>
            <w:pPr>
              <w:tabs>
                <w:tab w:val="left" w:pos="6072"/>
              </w:tabs>
              <w:rPr>
                <w:szCs w:val="21"/>
              </w:rPr>
            </w:pPr>
            <w:r>
              <w:rPr>
                <w:szCs w:val="21"/>
              </w:rPr>
              <w:t>工学、管理学、经济学门类</w:t>
            </w:r>
          </w:p>
        </w:tc>
        <w:tc>
          <w:tcPr>
            <w:tcW w:w="2160" w:type="dxa"/>
            <w:noWrap w:val="0"/>
            <w:vAlign w:val="center"/>
          </w:tcPr>
          <w:p>
            <w:pPr>
              <w:widowControl/>
              <w:rPr>
                <w:szCs w:val="21"/>
              </w:rPr>
            </w:pPr>
            <w:r>
              <w:rPr>
                <w:szCs w:val="21"/>
              </w:rPr>
              <w:t>大学本科</w:t>
            </w:r>
          </w:p>
          <w:p>
            <w:pPr>
              <w:widowControl/>
              <w:rPr>
                <w:szCs w:val="21"/>
              </w:rPr>
            </w:pPr>
            <w:r>
              <w:rPr>
                <w:szCs w:val="21"/>
              </w:rPr>
              <w:t>学历或学位</w:t>
            </w:r>
          </w:p>
        </w:tc>
        <w:tc>
          <w:tcPr>
            <w:tcW w:w="4187" w:type="dxa"/>
            <w:noWrap w:val="0"/>
            <w:vAlign w:val="center"/>
          </w:tcPr>
          <w:p>
            <w:pPr>
              <w:widowControl/>
              <w:rPr>
                <w:szCs w:val="21"/>
              </w:rPr>
            </w:pPr>
            <w:r>
              <w:rPr>
                <w:szCs w:val="21"/>
              </w:rPr>
              <w:t>从事工程造价业务工作满5年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848" w:type="dxa"/>
            <w:vMerge w:val="continue"/>
            <w:shd w:val="clear" w:color="auto" w:fill="auto"/>
            <w:noWrap w:val="0"/>
            <w:vAlign w:val="center"/>
          </w:tcPr>
          <w:p>
            <w:pPr>
              <w:rPr>
                <w:szCs w:val="21"/>
              </w:rPr>
            </w:pPr>
          </w:p>
        </w:tc>
        <w:tc>
          <w:tcPr>
            <w:tcW w:w="2776" w:type="dxa"/>
            <w:shd w:val="clear" w:color="auto" w:fill="auto"/>
            <w:noWrap w:val="0"/>
            <w:vAlign w:val="center"/>
          </w:tcPr>
          <w:p>
            <w:pPr>
              <w:tabs>
                <w:tab w:val="left" w:pos="6072"/>
              </w:tabs>
              <w:rPr>
                <w:szCs w:val="21"/>
              </w:rPr>
            </w:pPr>
            <w:r>
              <w:rPr>
                <w:szCs w:val="21"/>
              </w:rPr>
              <w:t>工学、管理学、经济学门类</w:t>
            </w:r>
          </w:p>
        </w:tc>
        <w:tc>
          <w:tcPr>
            <w:tcW w:w="2160" w:type="dxa"/>
            <w:noWrap w:val="0"/>
            <w:vAlign w:val="center"/>
          </w:tcPr>
          <w:p>
            <w:pPr>
              <w:widowControl/>
              <w:rPr>
                <w:szCs w:val="21"/>
              </w:rPr>
            </w:pPr>
            <w:r>
              <w:rPr>
                <w:szCs w:val="21"/>
              </w:rPr>
              <w:t>硕士学位或者</w:t>
            </w:r>
          </w:p>
          <w:p>
            <w:pPr>
              <w:widowControl/>
              <w:rPr>
                <w:szCs w:val="21"/>
              </w:rPr>
            </w:pPr>
            <w:r>
              <w:rPr>
                <w:szCs w:val="21"/>
              </w:rPr>
              <w:t>第二学士学位</w:t>
            </w:r>
          </w:p>
        </w:tc>
        <w:tc>
          <w:tcPr>
            <w:tcW w:w="4187" w:type="dxa"/>
            <w:noWrap w:val="0"/>
            <w:vAlign w:val="center"/>
          </w:tcPr>
          <w:p>
            <w:pPr>
              <w:widowControl/>
              <w:rPr>
                <w:szCs w:val="21"/>
              </w:rPr>
            </w:pPr>
            <w:r>
              <w:rPr>
                <w:szCs w:val="21"/>
              </w:rPr>
              <w:t>从事工程造价业务工作满3年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848" w:type="dxa"/>
            <w:vMerge w:val="continue"/>
            <w:shd w:val="clear" w:color="auto" w:fill="auto"/>
            <w:noWrap w:val="0"/>
            <w:vAlign w:val="center"/>
          </w:tcPr>
          <w:p>
            <w:pPr>
              <w:rPr>
                <w:szCs w:val="21"/>
              </w:rPr>
            </w:pPr>
          </w:p>
        </w:tc>
        <w:tc>
          <w:tcPr>
            <w:tcW w:w="2776" w:type="dxa"/>
            <w:shd w:val="clear" w:color="auto" w:fill="auto"/>
            <w:noWrap w:val="0"/>
            <w:vAlign w:val="center"/>
          </w:tcPr>
          <w:p>
            <w:pPr>
              <w:tabs>
                <w:tab w:val="left" w:pos="6072"/>
              </w:tabs>
              <w:rPr>
                <w:szCs w:val="21"/>
              </w:rPr>
            </w:pPr>
            <w:r>
              <w:rPr>
                <w:szCs w:val="21"/>
              </w:rPr>
              <w:t>工学、管理学、经济学门类</w:t>
            </w:r>
          </w:p>
        </w:tc>
        <w:tc>
          <w:tcPr>
            <w:tcW w:w="2160" w:type="dxa"/>
            <w:noWrap w:val="0"/>
            <w:vAlign w:val="center"/>
          </w:tcPr>
          <w:p>
            <w:pPr>
              <w:widowControl/>
              <w:rPr>
                <w:szCs w:val="21"/>
              </w:rPr>
            </w:pPr>
            <w:r>
              <w:rPr>
                <w:szCs w:val="21"/>
              </w:rPr>
              <w:t>博士学位</w:t>
            </w:r>
          </w:p>
        </w:tc>
        <w:tc>
          <w:tcPr>
            <w:tcW w:w="4187" w:type="dxa"/>
            <w:noWrap w:val="0"/>
            <w:vAlign w:val="center"/>
          </w:tcPr>
          <w:p>
            <w:pPr>
              <w:widowControl/>
              <w:rPr>
                <w:szCs w:val="21"/>
              </w:rPr>
            </w:pPr>
            <w:r>
              <w:rPr>
                <w:szCs w:val="21"/>
              </w:rPr>
              <w:t>从事工程造价业务工作满1年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848" w:type="dxa"/>
            <w:vMerge w:val="continue"/>
            <w:shd w:val="clear" w:color="auto" w:fill="auto"/>
            <w:noWrap w:val="0"/>
            <w:vAlign w:val="center"/>
          </w:tcPr>
          <w:p>
            <w:pPr>
              <w:rPr>
                <w:szCs w:val="21"/>
              </w:rPr>
            </w:pPr>
          </w:p>
        </w:tc>
        <w:tc>
          <w:tcPr>
            <w:tcW w:w="9123" w:type="dxa"/>
            <w:gridSpan w:val="3"/>
            <w:shd w:val="clear" w:color="auto" w:fill="auto"/>
            <w:noWrap w:val="0"/>
            <w:vAlign w:val="center"/>
          </w:tcPr>
          <w:p>
            <w:pPr>
              <w:widowControl/>
              <w:rPr>
                <w:szCs w:val="21"/>
              </w:rPr>
            </w:pPr>
            <w:r>
              <w:rPr>
                <w:szCs w:val="21"/>
              </w:rPr>
              <w:t>具有其他专业相应学历或者学位的人员，从事工程造价业务工作年限相应增加1年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8" w:hRule="exact"/>
          <w:jc w:val="center"/>
        </w:trPr>
        <w:tc>
          <w:tcPr>
            <w:tcW w:w="848" w:type="dxa"/>
            <w:vMerge w:val="continue"/>
            <w:noWrap w:val="0"/>
            <w:vAlign w:val="top"/>
          </w:tcPr>
          <w:p>
            <w:pPr>
              <w:rPr>
                <w:szCs w:val="21"/>
              </w:rPr>
            </w:pPr>
          </w:p>
        </w:tc>
        <w:tc>
          <w:tcPr>
            <w:tcW w:w="9123" w:type="dxa"/>
            <w:gridSpan w:val="3"/>
            <w:noWrap w:val="0"/>
            <w:vAlign w:val="top"/>
          </w:tcPr>
          <w:p>
            <w:pPr>
              <w:widowControl/>
              <w:spacing w:line="240" w:lineRule="exact"/>
              <w:ind w:firstLine="210" w:firstLineChars="100"/>
              <w:rPr>
                <w:color w:val="000000"/>
                <w:szCs w:val="21"/>
              </w:rPr>
            </w:pPr>
          </w:p>
          <w:p>
            <w:pPr>
              <w:widowControl/>
              <w:spacing w:line="240" w:lineRule="exact"/>
              <w:ind w:firstLine="420" w:firstLineChars="200"/>
              <w:rPr>
                <w:color w:val="000000"/>
                <w:szCs w:val="21"/>
              </w:rPr>
            </w:pPr>
            <w:r>
              <w:rPr>
                <w:rFonts w:hint="eastAsia"/>
                <w:color w:val="000000"/>
                <w:szCs w:val="21"/>
                <w:lang w:val="en-US" w:eastAsia="zh-CN"/>
              </w:rPr>
              <w:t>1</w:t>
            </w:r>
            <w:r>
              <w:rPr>
                <w:color w:val="000000"/>
                <w:szCs w:val="21"/>
              </w:rPr>
              <w:t>、</w:t>
            </w:r>
            <w:r>
              <w:rPr>
                <w:rFonts w:hint="eastAsia"/>
                <w:color w:val="000000"/>
                <w:szCs w:val="21"/>
              </w:rPr>
              <w:t>凡符合住房和城乡建设部、交通运输部、水利部和人力资源和社会保障部《关于印发〈造价工程师职业资格制度规定〉〈造价工程师职业资格考试实施办法〉的通知》（建人〔2018〕67号）和住房和城乡建设部《关于造价工程师职业资格考试有关工作的说明》规定条件的人员均可报名参加一级造价工程师职业资格考试</w:t>
            </w:r>
          </w:p>
          <w:p>
            <w:pPr>
              <w:widowControl/>
              <w:spacing w:before="100" w:beforeAutospacing="1" w:after="100" w:afterAutospacing="1" w:line="240" w:lineRule="exact"/>
              <w:ind w:firstLine="420" w:firstLineChars="200"/>
              <w:jc w:val="left"/>
              <w:rPr>
                <w:szCs w:val="21"/>
              </w:rPr>
            </w:pPr>
            <w:r>
              <w:rPr>
                <w:rFonts w:hint="eastAsia"/>
                <w:color w:val="000000"/>
                <w:szCs w:val="21"/>
                <w:lang w:val="en-US" w:eastAsia="zh-CN"/>
              </w:rPr>
              <w:t>2</w:t>
            </w:r>
            <w:r>
              <w:rPr>
                <w:color w:val="000000"/>
                <w:szCs w:val="21"/>
              </w:rPr>
              <w:t>、已取得造价工程师一种专业职业资格证书</w:t>
            </w:r>
            <w:r>
              <w:rPr>
                <w:szCs w:val="21"/>
              </w:rPr>
              <w:t>的人员，报名参加其他专业科目考试的，可免考基础科目。考试合格后，核发人力资源社会保障部门统一印制的相应专业考试合格证明。该证明作为注册时增加执业专业类别的依据。</w:t>
            </w:r>
          </w:p>
          <w:p>
            <w:pPr>
              <w:widowControl/>
              <w:spacing w:before="100" w:beforeAutospacing="1" w:after="100" w:afterAutospacing="1" w:line="240" w:lineRule="exact"/>
              <w:ind w:firstLine="420" w:firstLineChars="200"/>
              <w:jc w:val="left"/>
              <w:rPr>
                <w:szCs w:val="21"/>
              </w:rPr>
            </w:pPr>
            <w:r>
              <w:rPr>
                <w:rFonts w:hint="eastAsia"/>
                <w:szCs w:val="21"/>
                <w:lang w:val="en-US" w:eastAsia="zh-CN"/>
              </w:rPr>
              <w:t>3</w:t>
            </w:r>
            <w:r>
              <w:rPr>
                <w:szCs w:val="21"/>
              </w:rPr>
              <w:t>、具有以下条件之一的，参加一级造价工程师考试可免考基础科目：（一）已取得公路工程造价人员资格证书（甲级）；（二）已取得水运工程造价工程师资格证书；（三）已取得水利工程造价工程师资格证书。</w:t>
            </w:r>
          </w:p>
          <w:p>
            <w:pPr>
              <w:widowControl/>
              <w:spacing w:before="100" w:beforeAutospacing="1" w:after="100" w:afterAutospacing="1" w:line="240" w:lineRule="exact"/>
              <w:ind w:firstLine="420" w:firstLineChars="200"/>
              <w:jc w:val="left"/>
              <w:rPr>
                <w:szCs w:val="21"/>
              </w:rPr>
            </w:pPr>
            <w:r>
              <w:rPr>
                <w:rFonts w:hint="eastAsia"/>
                <w:szCs w:val="21"/>
                <w:lang w:val="en-US" w:eastAsia="zh-CN"/>
              </w:rPr>
              <w:t>4</w:t>
            </w:r>
            <w:r>
              <w:rPr>
                <w:szCs w:val="21"/>
              </w:rPr>
              <w:t>、申请免考部分科目的人员在考</w:t>
            </w:r>
            <w:r>
              <w:rPr>
                <w:rFonts w:hint="eastAsia"/>
                <w:szCs w:val="21"/>
                <w:lang w:val="en-US" w:eastAsia="zh-CN"/>
              </w:rPr>
              <w:t>前</w:t>
            </w:r>
            <w:r>
              <w:rPr>
                <w:szCs w:val="21"/>
              </w:rPr>
              <w:t>资格审核时应提供相应材料。</w:t>
            </w:r>
          </w:p>
          <w:p>
            <w:pPr>
              <w:widowControl/>
              <w:spacing w:before="100" w:beforeAutospacing="1" w:after="100" w:afterAutospacing="1" w:line="240" w:lineRule="exact"/>
              <w:ind w:firstLine="435"/>
              <w:jc w:val="left"/>
              <w:rPr>
                <w:szCs w:val="21"/>
              </w:rPr>
            </w:pPr>
            <w:r>
              <w:rPr>
                <w:rFonts w:hint="eastAsia"/>
                <w:color w:val="000000"/>
                <w:szCs w:val="21"/>
                <w:lang w:val="en-US" w:eastAsia="zh-CN"/>
              </w:rPr>
              <w:t>5</w:t>
            </w:r>
            <w:r>
              <w:rPr>
                <w:color w:val="000000"/>
                <w:szCs w:val="21"/>
              </w:rPr>
              <w:t>、为保证新旧考试平稳过渡，原参加2017年度造价工程师职业资格考试，报考全部科目且通过部分科目的应试人员，其考试合格成绩继续有效，并按照4年为一个周期的办法顺延至2020年，此部分应试人员原则上不允许变更报考专业，若变更专业则按新应试人员报考。</w:t>
            </w:r>
          </w:p>
          <w:p>
            <w:pPr>
              <w:widowControl/>
              <w:spacing w:line="240" w:lineRule="exact"/>
              <w:ind w:firstLine="420" w:firstLineChars="200"/>
              <w:jc w:val="left"/>
              <w:rPr>
                <w:color w:val="000000"/>
                <w:szCs w:val="21"/>
              </w:rPr>
            </w:pPr>
            <w:r>
              <w:rPr>
                <w:rFonts w:hint="eastAsia"/>
                <w:color w:val="000000"/>
                <w:szCs w:val="21"/>
                <w:lang w:val="en-US" w:eastAsia="zh-CN"/>
              </w:rPr>
              <w:t>6</w:t>
            </w:r>
            <w:r>
              <w:rPr>
                <w:color w:val="000000"/>
                <w:szCs w:val="21"/>
              </w:rPr>
              <w:t>、一级造价工程师职业资格考试成绩实行4年为一个周期的滚动管理。参加4个科目考试（级别为考全科）的人员须在连续4个考试年度内通过应试科目，参加2个科目考试（级别为免二科）的符合免试基础科目人员须在2个考试年度内通过应试科目，方可获得资格证书。已获得资格证书，报名参加其他专业科目考试（级别为增报专业）的，只须参加专业科目且在2个考试年度内通过的，方可获得相应专业考试合格证明。</w:t>
            </w:r>
          </w:p>
          <w:p>
            <w:pPr>
              <w:widowControl/>
              <w:spacing w:line="240" w:lineRule="exact"/>
              <w:ind w:firstLine="420" w:firstLineChars="200"/>
              <w:jc w:val="left"/>
              <w:rPr>
                <w:color w:val="FF0000"/>
                <w:szCs w:val="21"/>
              </w:rPr>
            </w:pPr>
          </w:p>
        </w:tc>
      </w:tr>
    </w:tbl>
    <w:p>
      <w:pPr>
        <w:rPr>
          <w:rFonts w:hint="default" w:eastAsia="宋体"/>
          <w:lang w:val="en-US" w:eastAsia="zh-CN"/>
        </w:rPr>
      </w:pPr>
    </w:p>
    <w:p>
      <w:pPr>
        <w:rPr>
          <w:rFonts w:hint="default" w:eastAsia="宋体"/>
          <w:lang w:val="en-US" w:eastAsia="zh-CN"/>
        </w:rPr>
      </w:pPr>
    </w:p>
    <w:tbl>
      <w:tblPr>
        <w:tblStyle w:val="6"/>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913"/>
        <w:gridCol w:w="3237"/>
        <w:gridCol w:w="407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24" w:hRule="exact"/>
          <w:jc w:val="center"/>
        </w:trPr>
        <w:tc>
          <w:tcPr>
            <w:tcW w:w="917" w:type="dxa"/>
            <w:tcBorders>
              <w:bottom w:val="single" w:color="auto" w:sz="4" w:space="0"/>
            </w:tcBorders>
            <w:noWrap w:val="0"/>
            <w:vAlign w:val="center"/>
          </w:tcPr>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考试</w:t>
            </w:r>
          </w:p>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类别</w:t>
            </w:r>
          </w:p>
        </w:tc>
        <w:tc>
          <w:tcPr>
            <w:tcW w:w="1913" w:type="dxa"/>
            <w:tcBorders>
              <w:bottom w:val="single" w:color="auto" w:sz="4" w:space="0"/>
            </w:tcBorders>
            <w:noWrap w:val="0"/>
            <w:vAlign w:val="center"/>
          </w:tcPr>
          <w:p>
            <w:pPr>
              <w:pStyle w:val="2"/>
              <w:spacing w:line="280" w:lineRule="exact"/>
              <w:jc w:val="center"/>
              <w:rPr>
                <w:rFonts w:hint="eastAsia" w:ascii="Times New Roman" w:hAnsi="Times New Roman" w:eastAsia="黑体"/>
                <w:b/>
                <w:bCs/>
                <w:color w:val="000000"/>
                <w:sz w:val="17"/>
                <w:szCs w:val="21"/>
                <w:lang w:eastAsia="zh-CN"/>
              </w:rPr>
            </w:pPr>
            <w:r>
              <w:rPr>
                <w:rFonts w:hint="eastAsia" w:eastAsia="黑体"/>
                <w:b/>
                <w:bCs/>
                <w:color w:val="000000"/>
                <w:sz w:val="21"/>
                <w:szCs w:val="21"/>
                <w:lang w:val="en-US" w:eastAsia="zh-CN"/>
              </w:rPr>
              <w:t>级别</w:t>
            </w:r>
          </w:p>
        </w:tc>
        <w:tc>
          <w:tcPr>
            <w:tcW w:w="3237" w:type="dxa"/>
            <w:tcBorders>
              <w:bottom w:val="single" w:color="auto" w:sz="4" w:space="0"/>
            </w:tcBorders>
            <w:noWrap w:val="0"/>
            <w:vAlign w:val="center"/>
          </w:tcPr>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学位或学历</w:t>
            </w:r>
          </w:p>
        </w:tc>
        <w:tc>
          <w:tcPr>
            <w:tcW w:w="4076" w:type="dxa"/>
            <w:tcBorders>
              <w:bottom w:val="single" w:color="auto" w:sz="4" w:space="0"/>
            </w:tcBorders>
            <w:noWrap w:val="0"/>
            <w:vAlign w:val="center"/>
          </w:tcPr>
          <w:p>
            <w:pPr>
              <w:pStyle w:val="2"/>
              <w:spacing w:line="280" w:lineRule="exact"/>
              <w:ind w:firstLine="1138" w:firstLineChars="540"/>
              <w:rPr>
                <w:rFonts w:ascii="Times New Roman" w:hAnsi="Times New Roman" w:eastAsia="黑体"/>
                <w:b/>
                <w:bCs/>
                <w:color w:val="000000"/>
                <w:sz w:val="21"/>
                <w:szCs w:val="21"/>
              </w:rPr>
            </w:pPr>
            <w:r>
              <w:rPr>
                <w:rFonts w:ascii="Times New Roman" w:hAnsi="Times New Roman" w:eastAsia="黑体"/>
                <w:b/>
                <w:bCs/>
                <w:color w:val="000000"/>
                <w:sz w:val="21"/>
                <w:szCs w:val="21"/>
              </w:rPr>
              <w:t>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restart"/>
            <w:noWrap w:val="0"/>
            <w:textDirection w:val="tbRlV"/>
            <w:vAlign w:val="center"/>
          </w:tcPr>
          <w:p>
            <w:pPr>
              <w:widowControl/>
              <w:jc w:val="center"/>
              <w:rPr>
                <w:rFonts w:hint="default" w:ascii="Times New Roman" w:hAnsi="Times New Roman" w:eastAsia="黑体"/>
                <w:color w:val="000000"/>
                <w:sz w:val="24"/>
                <w:lang w:val="en-US" w:eastAsia="zh-CN"/>
              </w:rPr>
            </w:pPr>
            <w:r>
              <w:rPr>
                <w:rFonts w:hint="eastAsia" w:eastAsia="黑体"/>
                <w:b/>
                <w:bCs/>
                <w:color w:val="000000"/>
                <w:sz w:val="21"/>
                <w:szCs w:val="21"/>
                <w:lang w:val="en-US" w:eastAsia="zh-CN"/>
              </w:rPr>
              <w:t>社 会 工 作 者</w:t>
            </w:r>
          </w:p>
        </w:tc>
        <w:tc>
          <w:tcPr>
            <w:tcW w:w="1913" w:type="dxa"/>
            <w:vMerge w:val="restart"/>
            <w:noWrap w:val="0"/>
            <w:vAlign w:val="center"/>
          </w:tcPr>
          <w:p>
            <w:pPr>
              <w:widowControl/>
              <w:spacing w:line="300" w:lineRule="exact"/>
              <w:jc w:val="center"/>
              <w:rPr>
                <w:rFonts w:ascii="Times New Roman" w:hAnsi="Times New Roman"/>
                <w:color w:val="000000"/>
                <w:szCs w:val="21"/>
              </w:rPr>
            </w:pPr>
            <w:r>
              <w:rPr>
                <w:rFonts w:ascii="Times New Roman" w:hAnsi="Times New Roman"/>
                <w:color w:val="000000"/>
                <w:szCs w:val="21"/>
              </w:rPr>
              <w:t>社会工作师</w:t>
            </w: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社会工作专业博士学位</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社会工作专业硕士学位</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 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社会工作专业大学本科学历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 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社会工作专业大专学历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 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其他专业大专及以上学历或学位</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从事社会工作年限相应增加 2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高中或者中专学历，并取得助理社会工作师职业水平证书后</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 6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restart"/>
            <w:noWrap w:val="0"/>
            <w:vAlign w:val="center"/>
          </w:tcPr>
          <w:p>
            <w:pPr>
              <w:widowControl/>
              <w:spacing w:line="300" w:lineRule="exact"/>
              <w:jc w:val="center"/>
              <w:rPr>
                <w:rFonts w:ascii="Times New Roman" w:hAnsi="Times New Roman"/>
                <w:color w:val="000000"/>
                <w:szCs w:val="21"/>
              </w:rPr>
            </w:pPr>
            <w:r>
              <w:rPr>
                <w:rFonts w:ascii="Times New Roman" w:hAnsi="Times New Roman"/>
                <w:color w:val="000000"/>
                <w:szCs w:val="21"/>
              </w:rPr>
              <w:t>助理社会工作师</w:t>
            </w: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社会工作专业本科应届毕业生</w:t>
            </w:r>
          </w:p>
        </w:tc>
        <w:tc>
          <w:tcPr>
            <w:tcW w:w="4086" w:type="dxa"/>
            <w:gridSpan w:val="2"/>
            <w:noWrap w:val="0"/>
            <w:vAlign w:val="center"/>
          </w:tcPr>
          <w:p>
            <w:pPr>
              <w:widowControl/>
              <w:jc w:val="left"/>
              <w:rPr>
                <w:rFonts w:hint="eastAsia" w:ascii="Times New Roman" w:hAnsi="Times New Roman" w:eastAsia="宋体"/>
                <w:color w:val="000000"/>
                <w:szCs w:val="21"/>
                <w:lang w:val="en-US" w:eastAsia="zh-CN"/>
              </w:rPr>
            </w:pPr>
            <w:r>
              <w:rPr>
                <w:rFonts w:hint="eastAsia"/>
                <w:color w:val="000000"/>
                <w:szCs w:val="21"/>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社会工作专业大专学历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其他专业本科及以上学历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其他专业大专学历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vMerge w:val="continue"/>
            <w:noWrap w:val="0"/>
            <w:vAlign w:val="center"/>
          </w:tcPr>
          <w:p>
            <w:pPr>
              <w:widowControl/>
              <w:spacing w:line="300" w:lineRule="exact"/>
              <w:jc w:val="left"/>
              <w:rPr>
                <w:rFonts w:ascii="Times New Roman" w:hAnsi="Times New Roman"/>
                <w:color w:val="000000"/>
                <w:szCs w:val="21"/>
              </w:rPr>
            </w:pPr>
          </w:p>
        </w:tc>
        <w:tc>
          <w:tcPr>
            <w:tcW w:w="3237"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高中或者中专学历</w:t>
            </w:r>
          </w:p>
        </w:tc>
        <w:tc>
          <w:tcPr>
            <w:tcW w:w="4086" w:type="dxa"/>
            <w:gridSpan w:val="2"/>
            <w:noWrap w:val="0"/>
            <w:vAlign w:val="center"/>
          </w:tcPr>
          <w:p>
            <w:pPr>
              <w:widowControl/>
              <w:jc w:val="left"/>
              <w:rPr>
                <w:rFonts w:ascii="Times New Roman" w:hAnsi="Times New Roman"/>
                <w:color w:val="000000"/>
                <w:szCs w:val="21"/>
              </w:rPr>
            </w:pPr>
            <w:r>
              <w:rPr>
                <w:rFonts w:ascii="Times New Roman" w:hAnsi="Times New Roman"/>
                <w:color w:val="000000"/>
                <w:szCs w:val="21"/>
              </w:rPr>
              <w:t>从事社会工作满4年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917" w:type="dxa"/>
            <w:vMerge w:val="continue"/>
            <w:noWrap w:val="0"/>
            <w:vAlign w:val="center"/>
          </w:tcPr>
          <w:p>
            <w:pPr>
              <w:rPr>
                <w:rFonts w:ascii="Times New Roman" w:hAnsi="Times New Roman"/>
                <w:color w:val="000000"/>
                <w:sz w:val="18"/>
                <w:szCs w:val="18"/>
              </w:rPr>
            </w:pPr>
          </w:p>
        </w:tc>
        <w:tc>
          <w:tcPr>
            <w:tcW w:w="1913" w:type="dxa"/>
            <w:noWrap w:val="0"/>
            <w:vAlign w:val="center"/>
          </w:tcPr>
          <w:p>
            <w:pPr>
              <w:widowControl/>
              <w:spacing w:line="300" w:lineRule="exact"/>
              <w:jc w:val="center"/>
              <w:rPr>
                <w:rFonts w:hint="default" w:ascii="Times New Roman" w:hAnsi="Times New Roman" w:eastAsia="宋体"/>
                <w:color w:val="000000"/>
                <w:szCs w:val="21"/>
                <w:lang w:val="en-US" w:eastAsia="zh-CN"/>
              </w:rPr>
            </w:pPr>
            <w:r>
              <w:rPr>
                <w:rFonts w:hint="eastAsia"/>
                <w:color w:val="000000"/>
                <w:szCs w:val="21"/>
                <w:lang w:val="en-US" w:eastAsia="zh-CN"/>
              </w:rPr>
              <w:t>高级社会工作师</w:t>
            </w:r>
          </w:p>
        </w:tc>
        <w:tc>
          <w:tcPr>
            <w:tcW w:w="3237" w:type="dxa"/>
            <w:noWrap w:val="0"/>
            <w:vAlign w:val="center"/>
          </w:tcPr>
          <w:p>
            <w:pPr>
              <w:widowControl/>
              <w:jc w:val="left"/>
              <w:rPr>
                <w:rFonts w:hint="eastAsia" w:ascii="Times New Roman" w:hAnsi="Times New Roman" w:eastAsia="宋体"/>
                <w:color w:val="000000"/>
                <w:szCs w:val="21"/>
                <w:lang w:val="en-US" w:eastAsia="zh-CN"/>
              </w:rPr>
            </w:pPr>
            <w:r>
              <w:rPr>
                <w:rFonts w:hint="eastAsia"/>
                <w:kern w:val="0"/>
                <w:szCs w:val="21"/>
                <w:lang w:val="en-US" w:eastAsia="zh-CN"/>
              </w:rPr>
              <w:t>具有本科及以上学历（或学士及以上学位）</w:t>
            </w:r>
          </w:p>
        </w:tc>
        <w:tc>
          <w:tcPr>
            <w:tcW w:w="4086" w:type="dxa"/>
            <w:gridSpan w:val="2"/>
            <w:noWrap w:val="0"/>
            <w:vAlign w:val="center"/>
          </w:tcPr>
          <w:p>
            <w:pPr>
              <w:widowControl/>
              <w:jc w:val="left"/>
              <w:rPr>
                <w:rFonts w:ascii="Times New Roman" w:hAnsi="Times New Roman"/>
                <w:color w:val="000000"/>
                <w:szCs w:val="21"/>
              </w:rPr>
            </w:pPr>
            <w:r>
              <w:rPr>
                <w:rFonts w:hint="eastAsia"/>
                <w:kern w:val="0"/>
                <w:szCs w:val="21"/>
                <w:lang w:val="en-US" w:eastAsia="zh-CN"/>
              </w:rPr>
              <w:t>取得社会工作师（中级）资格后，从事社会工作满5年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6" w:hRule="exact"/>
          <w:jc w:val="center"/>
        </w:trPr>
        <w:tc>
          <w:tcPr>
            <w:tcW w:w="917" w:type="dxa"/>
            <w:vMerge w:val="continue"/>
            <w:noWrap w:val="0"/>
            <w:vAlign w:val="center"/>
          </w:tcPr>
          <w:p>
            <w:pPr>
              <w:rPr>
                <w:rFonts w:ascii="Times New Roman" w:hAnsi="Times New Roman"/>
                <w:color w:val="000000"/>
                <w:sz w:val="18"/>
                <w:szCs w:val="18"/>
              </w:rPr>
            </w:pPr>
          </w:p>
        </w:tc>
        <w:tc>
          <w:tcPr>
            <w:tcW w:w="9236" w:type="dxa"/>
            <w:gridSpan w:val="4"/>
            <w:noWrap w:val="0"/>
            <w:vAlign w:val="center"/>
          </w:tcPr>
          <w:p>
            <w:pPr>
              <w:widowControl/>
              <w:numPr>
                <w:ilvl w:val="0"/>
                <w:numId w:val="1"/>
              </w:numPr>
              <w:ind w:firstLine="420" w:firstLineChars="200"/>
              <w:jc w:val="left"/>
              <w:rPr>
                <w:rFonts w:ascii="Times New Roman" w:hAnsi="Times New Roman"/>
                <w:color w:val="000000"/>
                <w:szCs w:val="21"/>
              </w:rPr>
            </w:pPr>
            <w:r>
              <w:rPr>
                <w:rFonts w:ascii="Times New Roman" w:hAnsi="Times New Roman"/>
                <w:color w:val="000000"/>
                <w:kern w:val="0"/>
                <w:szCs w:val="21"/>
              </w:rPr>
              <w:t>助理社会工作师考试成绩实行非滚动管理。</w:t>
            </w:r>
            <w:r>
              <w:rPr>
                <w:rFonts w:ascii="Times New Roman" w:hAnsi="Times New Roman"/>
                <w:color w:val="000000"/>
                <w:szCs w:val="21"/>
              </w:rPr>
              <w:t>考生须在1个考试年度内通过全部应试科目，方可取得职业水平证书。</w:t>
            </w:r>
          </w:p>
          <w:p>
            <w:pPr>
              <w:widowControl/>
              <w:numPr>
                <w:ilvl w:val="0"/>
                <w:numId w:val="1"/>
              </w:numPr>
              <w:ind w:firstLine="420" w:firstLineChars="200"/>
              <w:jc w:val="left"/>
              <w:rPr>
                <w:rFonts w:ascii="Times New Roman" w:hAnsi="Times New Roman"/>
                <w:color w:val="000000"/>
                <w:szCs w:val="21"/>
              </w:rPr>
            </w:pPr>
            <w:r>
              <w:rPr>
                <w:rFonts w:ascii="Times New Roman" w:hAnsi="Times New Roman"/>
                <w:color w:val="000000"/>
                <w:kern w:val="0"/>
                <w:szCs w:val="21"/>
              </w:rPr>
              <w:t>社会工作师考试成绩实行2年为一个周期的滚动管理办法。</w:t>
            </w:r>
            <w:r>
              <w:rPr>
                <w:rFonts w:ascii="Times New Roman" w:hAnsi="Times New Roman"/>
                <w:color w:val="000000"/>
                <w:szCs w:val="21"/>
              </w:rPr>
              <w:t>考生须在连续2个考试年度内通过全部应试科目，方可取得职业水平证书。</w:t>
            </w:r>
          </w:p>
          <w:p>
            <w:pPr>
              <w:widowControl/>
              <w:numPr>
                <w:ilvl w:val="0"/>
                <w:numId w:val="0"/>
              </w:numPr>
              <w:ind w:firstLine="420" w:firstLineChars="200"/>
              <w:jc w:val="left"/>
              <w:rPr>
                <w:rFonts w:hint="eastAsia"/>
                <w:color w:val="000000"/>
                <w:szCs w:val="21"/>
                <w:lang w:val="en-US" w:eastAsia="zh-CN"/>
              </w:rPr>
            </w:pPr>
            <w:r>
              <w:rPr>
                <w:rFonts w:hint="eastAsia"/>
                <w:color w:val="000000"/>
                <w:szCs w:val="21"/>
                <w:lang w:val="en-US" w:eastAsia="zh-CN"/>
              </w:rPr>
              <w:t>3、高级社会工作师考试的应试人员通过该应试科目可取得高级社会工作师考试成绩合格证明。合格证明</w:t>
            </w:r>
            <w:r>
              <w:rPr>
                <w:rFonts w:hint="eastAsia"/>
                <w:kern w:val="0"/>
                <w:szCs w:val="21"/>
                <w:lang w:val="en-US" w:eastAsia="zh-CN"/>
              </w:rPr>
              <w:t>自颁发之日起，在全国范围3年内有效。</w:t>
            </w:r>
          </w:p>
          <w:p>
            <w:pPr>
              <w:widowControl/>
              <w:numPr>
                <w:ilvl w:val="0"/>
                <w:numId w:val="0"/>
              </w:numPr>
              <w:ind w:firstLine="420" w:firstLineChars="200"/>
              <w:jc w:val="left"/>
              <w:rPr>
                <w:rFonts w:hint="eastAsia"/>
                <w:color w:val="000000"/>
                <w:szCs w:val="21"/>
                <w:lang w:val="en-US" w:eastAsia="zh-CN"/>
              </w:rPr>
            </w:pPr>
            <w:r>
              <w:rPr>
                <w:rFonts w:hint="eastAsia"/>
                <w:color w:val="000000"/>
                <w:szCs w:val="21"/>
                <w:lang w:val="en-US" w:eastAsia="zh-CN"/>
              </w:rPr>
              <w:t>4、理社会工作师考试报名条件中的“社会工作专业本科应届毕业生”应为“社会工作专业本科应届毕业生和已经取得社会工作专业本科及以上学历（学位）的人员”。</w:t>
            </w:r>
          </w:p>
          <w:p>
            <w:pPr>
              <w:widowControl/>
              <w:numPr>
                <w:ilvl w:val="0"/>
                <w:numId w:val="0"/>
              </w:numPr>
              <w:ind w:leftChars="200"/>
              <w:jc w:val="left"/>
              <w:rPr>
                <w:rFonts w:hint="eastAsia"/>
                <w:kern w:val="0"/>
                <w:szCs w:val="21"/>
                <w:lang w:val="en-US" w:eastAsia="zh-CN"/>
              </w:rPr>
            </w:pPr>
            <w:r>
              <w:rPr>
                <w:rFonts w:hint="eastAsia"/>
                <w:color w:val="000000"/>
                <w:kern w:val="0"/>
                <w:szCs w:val="21"/>
                <w:lang w:val="en-US" w:eastAsia="zh-CN"/>
              </w:rPr>
              <w:t>5、专业工作年限</w:t>
            </w:r>
            <w:r>
              <w:rPr>
                <w:rFonts w:hint="eastAsia"/>
                <w:kern w:val="0"/>
                <w:szCs w:val="21"/>
                <w:lang w:val="en-US" w:eastAsia="zh-CN"/>
              </w:rPr>
              <w:t>截止日期为考试报名年度的当年12月31日。</w:t>
            </w:r>
          </w:p>
          <w:p>
            <w:pPr>
              <w:widowControl/>
              <w:numPr>
                <w:ilvl w:val="0"/>
                <w:numId w:val="0"/>
              </w:numPr>
              <w:ind w:firstLine="420" w:firstLineChars="200"/>
              <w:jc w:val="left"/>
              <w:rPr>
                <w:rFonts w:hint="eastAsia"/>
                <w:kern w:val="0"/>
                <w:szCs w:val="21"/>
                <w:lang w:val="en-US" w:eastAsia="zh-CN"/>
              </w:rPr>
            </w:pPr>
            <w:r>
              <w:rPr>
                <w:rFonts w:hint="eastAsia"/>
                <w:kern w:val="0"/>
                <w:szCs w:val="21"/>
                <w:lang w:val="en-US" w:eastAsia="zh-CN"/>
              </w:rPr>
              <w:t>6、持香港、澳门、台湾地区或者国外高等学校学历或者学位证书报考的，其学历、学位证书须经教育部留学服务中心认证；符合报名条件的香港、澳门及台湾居民可以申请参加社会工作者职业水平考试。</w:t>
            </w:r>
          </w:p>
          <w:p>
            <w:pPr>
              <w:widowControl/>
              <w:numPr>
                <w:ilvl w:val="0"/>
                <w:numId w:val="0"/>
              </w:numPr>
              <w:ind w:firstLine="420" w:firstLineChars="200"/>
              <w:jc w:val="left"/>
              <w:rPr>
                <w:rFonts w:hint="eastAsia"/>
                <w:kern w:val="0"/>
                <w:szCs w:val="21"/>
                <w:lang w:val="en-US" w:eastAsia="zh-CN"/>
              </w:rPr>
            </w:pPr>
            <w:r>
              <w:rPr>
                <w:rFonts w:hint="eastAsia"/>
                <w:kern w:val="0"/>
                <w:szCs w:val="21"/>
                <w:lang w:val="en-US" w:eastAsia="zh-CN"/>
              </w:rPr>
              <w:t>7、持有中国残疾人联合会颁发的残疾人证二级低视力（或严重于二级）者可申请借助读屏软件参加考试。报名参加考试的视力障碍人员，须向报考地人事考试机构申请使用专用考场。各地人事考试机构对此类报考情况要及时汇总并上报省人事考试中心。</w:t>
            </w:r>
          </w:p>
          <w:p>
            <w:pPr>
              <w:widowControl/>
              <w:numPr>
                <w:ilvl w:val="0"/>
                <w:numId w:val="0"/>
              </w:numPr>
              <w:ind w:firstLine="420" w:firstLineChars="200"/>
              <w:jc w:val="left"/>
              <w:rPr>
                <w:rFonts w:hint="eastAsia"/>
                <w:kern w:val="0"/>
                <w:szCs w:val="21"/>
                <w:lang w:val="en-US" w:eastAsia="zh-CN"/>
              </w:rPr>
            </w:pPr>
          </w:p>
          <w:p>
            <w:pPr>
              <w:widowControl/>
              <w:ind w:firstLine="420" w:firstLineChars="200"/>
              <w:jc w:val="left"/>
              <w:rPr>
                <w:rFonts w:hint="eastAsia" w:ascii="Times New Roman" w:hAnsi="Times New Roman" w:eastAsia="宋体"/>
                <w:color w:val="000000"/>
                <w:szCs w:val="21"/>
                <w:lang w:val="en-US" w:eastAsia="zh-CN"/>
              </w:rPr>
            </w:pPr>
          </w:p>
        </w:tc>
      </w:tr>
    </w:tbl>
    <w:p>
      <w:pPr>
        <w:rPr>
          <w:rFonts w:hint="default" w:eastAsia="宋体"/>
          <w:lang w:val="en-US" w:eastAsia="zh-CN"/>
        </w:rPr>
      </w:pPr>
    </w:p>
    <w:p>
      <w:pPr>
        <w:rPr>
          <w:rFonts w:hint="default" w:eastAsia="宋体"/>
          <w:lang w:val="en-US" w:eastAsia="zh-CN"/>
        </w:rPr>
      </w:pPr>
    </w:p>
    <w:tbl>
      <w:tblPr>
        <w:tblStyle w:val="6"/>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913"/>
        <w:gridCol w:w="486"/>
        <w:gridCol w:w="2451"/>
        <w:gridCol w:w="437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24" w:hRule="exact"/>
          <w:jc w:val="center"/>
        </w:trPr>
        <w:tc>
          <w:tcPr>
            <w:tcW w:w="917" w:type="dxa"/>
            <w:tcBorders>
              <w:bottom w:val="single" w:color="auto" w:sz="4" w:space="0"/>
            </w:tcBorders>
            <w:noWrap w:val="0"/>
            <w:vAlign w:val="center"/>
          </w:tcPr>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考试</w:t>
            </w:r>
          </w:p>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类别</w:t>
            </w:r>
          </w:p>
        </w:tc>
        <w:tc>
          <w:tcPr>
            <w:tcW w:w="1913" w:type="dxa"/>
            <w:tcBorders>
              <w:bottom w:val="single" w:color="auto" w:sz="4" w:space="0"/>
            </w:tcBorders>
            <w:noWrap w:val="0"/>
            <w:vAlign w:val="center"/>
          </w:tcPr>
          <w:p>
            <w:pPr>
              <w:pStyle w:val="2"/>
              <w:spacing w:line="280" w:lineRule="exact"/>
              <w:jc w:val="center"/>
              <w:rPr>
                <w:rFonts w:hint="default" w:ascii="Times New Roman" w:hAnsi="Times New Roman" w:eastAsia="黑体"/>
                <w:b/>
                <w:bCs/>
                <w:color w:val="000000"/>
                <w:sz w:val="17"/>
                <w:szCs w:val="21"/>
                <w:lang w:val="en-US" w:eastAsia="zh-CN"/>
              </w:rPr>
            </w:pPr>
            <w:r>
              <w:rPr>
                <w:rFonts w:hint="eastAsia" w:eastAsia="黑体"/>
                <w:b/>
                <w:bCs/>
                <w:color w:val="000000"/>
                <w:sz w:val="21"/>
                <w:szCs w:val="21"/>
                <w:lang w:val="en-US" w:eastAsia="zh-CN"/>
              </w:rPr>
              <w:t>级别</w:t>
            </w:r>
          </w:p>
        </w:tc>
        <w:tc>
          <w:tcPr>
            <w:tcW w:w="2937" w:type="dxa"/>
            <w:gridSpan w:val="2"/>
            <w:tcBorders>
              <w:bottom w:val="single" w:color="auto" w:sz="4" w:space="0"/>
            </w:tcBorders>
            <w:noWrap w:val="0"/>
            <w:vAlign w:val="center"/>
          </w:tcPr>
          <w:p>
            <w:pPr>
              <w:pStyle w:val="2"/>
              <w:spacing w:line="280" w:lineRule="exact"/>
              <w:jc w:val="center"/>
              <w:rPr>
                <w:rFonts w:ascii="Times New Roman" w:hAnsi="Times New Roman" w:eastAsia="黑体"/>
                <w:b/>
                <w:bCs/>
                <w:color w:val="000000"/>
                <w:sz w:val="21"/>
                <w:szCs w:val="21"/>
              </w:rPr>
            </w:pPr>
            <w:r>
              <w:rPr>
                <w:rFonts w:ascii="Times New Roman" w:hAnsi="Times New Roman" w:eastAsia="黑体"/>
                <w:b/>
                <w:bCs/>
                <w:color w:val="000000"/>
                <w:sz w:val="21"/>
                <w:szCs w:val="21"/>
              </w:rPr>
              <w:t>学位或学历</w:t>
            </w:r>
          </w:p>
        </w:tc>
        <w:tc>
          <w:tcPr>
            <w:tcW w:w="4376" w:type="dxa"/>
            <w:tcBorders>
              <w:bottom w:val="single" w:color="auto" w:sz="4" w:space="0"/>
            </w:tcBorders>
            <w:noWrap w:val="0"/>
            <w:vAlign w:val="center"/>
          </w:tcPr>
          <w:p>
            <w:pPr>
              <w:pStyle w:val="2"/>
              <w:spacing w:line="280" w:lineRule="exact"/>
              <w:ind w:firstLine="1138" w:firstLineChars="540"/>
              <w:rPr>
                <w:rFonts w:ascii="Times New Roman" w:hAnsi="Times New Roman" w:eastAsia="黑体"/>
                <w:b/>
                <w:bCs/>
                <w:color w:val="000000"/>
                <w:sz w:val="21"/>
                <w:szCs w:val="21"/>
              </w:rPr>
            </w:pPr>
            <w:r>
              <w:rPr>
                <w:rFonts w:ascii="Times New Roman" w:hAnsi="Times New Roman" w:eastAsia="黑体"/>
                <w:b/>
                <w:bCs/>
                <w:color w:val="000000"/>
                <w:sz w:val="21"/>
                <w:szCs w:val="21"/>
              </w:rPr>
              <w:t>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restart"/>
            <w:noWrap w:val="0"/>
            <w:textDirection w:val="tbRlV"/>
            <w:vAlign w:val="center"/>
          </w:tcPr>
          <w:p>
            <w:pPr>
              <w:widowControl/>
              <w:jc w:val="center"/>
              <w:rPr>
                <w:rFonts w:ascii="Times New Roman" w:hAnsi="Times New Roman"/>
                <w:b/>
                <w:bCs/>
                <w:color w:val="000000"/>
                <w:sz w:val="44"/>
                <w:szCs w:val="44"/>
              </w:rPr>
            </w:pPr>
            <w:r>
              <w:rPr>
                <w:rFonts w:ascii="Times New Roman" w:hAnsi="Times New Roman" w:eastAsia="黑体"/>
                <w:b/>
                <w:bCs/>
                <w:color w:val="000000"/>
                <w:kern w:val="0"/>
                <w:szCs w:val="21"/>
              </w:rPr>
              <w:t>注</w:t>
            </w:r>
            <w:r>
              <w:rPr>
                <w:rFonts w:hint="eastAsia" w:eastAsia="黑体"/>
                <w:b/>
                <w:bCs/>
                <w:color w:val="000000"/>
                <w:kern w:val="0"/>
                <w:szCs w:val="21"/>
                <w:lang w:val="en-US" w:eastAsia="zh-CN"/>
              </w:rPr>
              <w:t xml:space="preserve"> </w:t>
            </w:r>
            <w:r>
              <w:rPr>
                <w:rFonts w:ascii="Times New Roman" w:hAnsi="Times New Roman" w:eastAsia="黑体"/>
                <w:b/>
                <w:bCs/>
                <w:color w:val="000000"/>
                <w:kern w:val="0"/>
                <w:szCs w:val="21"/>
              </w:rPr>
              <w:t>册</w:t>
            </w:r>
            <w:r>
              <w:rPr>
                <w:rFonts w:hint="eastAsia" w:eastAsia="黑体"/>
                <w:b/>
                <w:bCs/>
                <w:color w:val="000000"/>
                <w:kern w:val="0"/>
                <w:szCs w:val="21"/>
                <w:lang w:val="en-US" w:eastAsia="zh-CN"/>
              </w:rPr>
              <w:t xml:space="preserve"> </w:t>
            </w:r>
            <w:r>
              <w:rPr>
                <w:rFonts w:ascii="Times New Roman" w:hAnsi="Times New Roman" w:eastAsia="黑体"/>
                <w:b/>
                <w:bCs/>
                <w:color w:val="000000"/>
                <w:kern w:val="0"/>
                <w:szCs w:val="21"/>
              </w:rPr>
              <w:t>计</w:t>
            </w:r>
            <w:r>
              <w:rPr>
                <w:rFonts w:hint="eastAsia" w:eastAsia="黑体"/>
                <w:b/>
                <w:bCs/>
                <w:color w:val="000000"/>
                <w:kern w:val="0"/>
                <w:szCs w:val="21"/>
                <w:lang w:val="en-US" w:eastAsia="zh-CN"/>
              </w:rPr>
              <w:t xml:space="preserve"> </w:t>
            </w:r>
            <w:r>
              <w:rPr>
                <w:rFonts w:ascii="Times New Roman" w:hAnsi="Times New Roman" w:eastAsia="黑体"/>
                <w:b/>
                <w:bCs/>
                <w:color w:val="000000"/>
                <w:kern w:val="0"/>
                <w:szCs w:val="21"/>
              </w:rPr>
              <w:t>量</w:t>
            </w:r>
            <w:r>
              <w:rPr>
                <w:rFonts w:hint="eastAsia" w:eastAsia="黑体"/>
                <w:b/>
                <w:bCs/>
                <w:color w:val="000000"/>
                <w:kern w:val="0"/>
                <w:szCs w:val="21"/>
                <w:lang w:val="en-US" w:eastAsia="zh-CN"/>
              </w:rPr>
              <w:t xml:space="preserve"> </w:t>
            </w:r>
            <w:r>
              <w:rPr>
                <w:rFonts w:ascii="Times New Roman" w:hAnsi="Times New Roman" w:eastAsia="黑体"/>
                <w:b/>
                <w:bCs/>
                <w:color w:val="000000"/>
                <w:kern w:val="0"/>
                <w:szCs w:val="21"/>
              </w:rPr>
              <w:t>师</w:t>
            </w:r>
          </w:p>
        </w:tc>
        <w:tc>
          <w:tcPr>
            <w:tcW w:w="1913" w:type="dxa"/>
            <w:vMerge w:val="restart"/>
            <w:noWrap w:val="0"/>
            <w:vAlign w:val="center"/>
          </w:tcPr>
          <w:p>
            <w:pPr>
              <w:jc w:val="center"/>
              <w:rPr>
                <w:rFonts w:ascii="Times New Roman" w:hAnsi="Times New Roman"/>
                <w:color w:val="000000"/>
                <w:szCs w:val="21"/>
              </w:rPr>
            </w:pPr>
            <w:r>
              <w:rPr>
                <w:rFonts w:ascii="Times New Roman" w:hAnsi="Times New Roman"/>
                <w:color w:val="000000"/>
                <w:szCs w:val="21"/>
              </w:rPr>
              <w:t>一级</w:t>
            </w:r>
          </w:p>
        </w:tc>
        <w:tc>
          <w:tcPr>
            <w:tcW w:w="486" w:type="dxa"/>
            <w:vMerge w:val="restart"/>
            <w:noWrap w:val="0"/>
            <w:vAlign w:val="center"/>
          </w:tcPr>
          <w:p>
            <w:pPr>
              <w:rPr>
                <w:rFonts w:hint="eastAsia" w:ascii="Times New Roman" w:hAnsi="Times New Roman" w:eastAsia="宋体"/>
                <w:color w:val="000000"/>
                <w:szCs w:val="21"/>
                <w:lang w:val="en-US" w:eastAsia="zh-CN"/>
              </w:rPr>
            </w:pPr>
            <w:r>
              <w:rPr>
                <w:rFonts w:ascii="Times New Roman" w:hAnsi="Times New Roman"/>
                <w:color w:val="000000"/>
                <w:szCs w:val="21"/>
              </w:rPr>
              <w:t>理学</w:t>
            </w:r>
            <w:r>
              <w:rPr>
                <w:rFonts w:hint="eastAsia"/>
                <w:color w:val="000000"/>
                <w:szCs w:val="21"/>
                <w:lang w:val="en-US" w:eastAsia="zh-CN"/>
              </w:rPr>
              <w:t>或</w:t>
            </w:r>
          </w:p>
          <w:p>
            <w:pPr>
              <w:rPr>
                <w:rFonts w:ascii="Times New Roman" w:hAnsi="Times New Roman"/>
                <w:color w:val="000000"/>
                <w:szCs w:val="21"/>
              </w:rPr>
            </w:pPr>
            <w:r>
              <w:rPr>
                <w:rFonts w:ascii="Times New Roman" w:hAnsi="Times New Roman"/>
                <w:color w:val="000000"/>
                <w:szCs w:val="21"/>
              </w:rPr>
              <w:t>工学</w:t>
            </w:r>
            <w:r>
              <w:rPr>
                <w:rFonts w:hint="eastAsia"/>
                <w:color w:val="000000"/>
                <w:szCs w:val="21"/>
                <w:lang w:val="en-US" w:eastAsia="zh-CN"/>
              </w:rPr>
              <w:t>门</w:t>
            </w:r>
            <w:r>
              <w:rPr>
                <w:rFonts w:ascii="Times New Roman" w:hAnsi="Times New Roman"/>
                <w:color w:val="000000"/>
                <w:szCs w:val="21"/>
              </w:rPr>
              <w:t>类</w:t>
            </w:r>
          </w:p>
        </w:tc>
        <w:tc>
          <w:tcPr>
            <w:tcW w:w="2451" w:type="dxa"/>
            <w:noWrap w:val="0"/>
            <w:vAlign w:val="center"/>
          </w:tcPr>
          <w:p>
            <w:pPr>
              <w:widowControl/>
              <w:rPr>
                <w:rFonts w:ascii="Times New Roman" w:hAnsi="Times New Roman"/>
                <w:color w:val="000000"/>
                <w:szCs w:val="21"/>
              </w:rPr>
            </w:pPr>
            <w:r>
              <w:rPr>
                <w:rFonts w:ascii="Times New Roman" w:hAnsi="Times New Roman"/>
                <w:color w:val="000000"/>
                <w:szCs w:val="21"/>
              </w:rPr>
              <w:t>博士学位</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从事计量技术工作满1年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textDirection w:val="tbRlV"/>
            <w:vAlign w:val="center"/>
          </w:tcPr>
          <w:p>
            <w:pPr>
              <w:widowControl/>
              <w:jc w:val="center"/>
              <w:rPr>
                <w:rFonts w:ascii="Times New Roman" w:hAnsi="Times New Roman" w:eastAsia="黑体"/>
                <w:b/>
                <w:bCs/>
                <w:color w:val="000000"/>
                <w:kern w:val="0"/>
                <w:szCs w:val="21"/>
              </w:rPr>
            </w:pPr>
          </w:p>
        </w:tc>
        <w:tc>
          <w:tcPr>
            <w:tcW w:w="1913" w:type="dxa"/>
            <w:vMerge w:val="continue"/>
            <w:noWrap w:val="0"/>
            <w:vAlign w:val="center"/>
          </w:tcPr>
          <w:p>
            <w:pPr>
              <w:jc w:val="center"/>
              <w:rPr>
                <w:rFonts w:ascii="Times New Roman" w:hAnsi="Times New Roman"/>
                <w:color w:val="000000"/>
                <w:szCs w:val="21"/>
              </w:rPr>
            </w:pPr>
          </w:p>
        </w:tc>
        <w:tc>
          <w:tcPr>
            <w:tcW w:w="486" w:type="dxa"/>
            <w:vMerge w:val="continue"/>
            <w:noWrap w:val="0"/>
            <w:vAlign w:val="center"/>
          </w:tcPr>
          <w:p>
            <w:pPr>
              <w:rPr>
                <w:rFonts w:ascii="Times New Roman" w:hAnsi="Times New Roman"/>
                <w:color w:val="000000"/>
                <w:szCs w:val="21"/>
              </w:rPr>
            </w:pPr>
          </w:p>
        </w:tc>
        <w:tc>
          <w:tcPr>
            <w:tcW w:w="2451" w:type="dxa"/>
            <w:noWrap w:val="0"/>
            <w:vAlign w:val="center"/>
          </w:tcPr>
          <w:p>
            <w:pPr>
              <w:widowControl/>
              <w:rPr>
                <w:rFonts w:ascii="Times New Roman" w:hAnsi="Times New Roman"/>
                <w:color w:val="000000"/>
                <w:szCs w:val="21"/>
              </w:rPr>
            </w:pPr>
            <w:r>
              <w:rPr>
                <w:rFonts w:ascii="Times New Roman" w:hAnsi="Times New Roman"/>
                <w:color w:val="000000"/>
                <w:szCs w:val="21"/>
              </w:rPr>
              <w:t>硕士学位</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工作满2年，其中从事计量技术工作满1年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917" w:type="dxa"/>
            <w:vMerge w:val="continue"/>
            <w:noWrap w:val="0"/>
            <w:textDirection w:val="tbRlV"/>
            <w:vAlign w:val="center"/>
          </w:tcPr>
          <w:p>
            <w:pPr>
              <w:widowControl/>
              <w:jc w:val="center"/>
              <w:rPr>
                <w:rFonts w:ascii="Times New Roman" w:hAnsi="Times New Roman" w:eastAsia="黑体"/>
                <w:b/>
                <w:bCs/>
                <w:color w:val="000000"/>
                <w:kern w:val="0"/>
                <w:szCs w:val="21"/>
              </w:rPr>
            </w:pPr>
          </w:p>
        </w:tc>
        <w:tc>
          <w:tcPr>
            <w:tcW w:w="1913" w:type="dxa"/>
            <w:vMerge w:val="continue"/>
            <w:noWrap w:val="0"/>
            <w:vAlign w:val="center"/>
          </w:tcPr>
          <w:p>
            <w:pPr>
              <w:jc w:val="center"/>
              <w:rPr>
                <w:rFonts w:ascii="Times New Roman" w:hAnsi="Times New Roman"/>
                <w:color w:val="000000"/>
                <w:szCs w:val="21"/>
              </w:rPr>
            </w:pPr>
          </w:p>
        </w:tc>
        <w:tc>
          <w:tcPr>
            <w:tcW w:w="486" w:type="dxa"/>
            <w:vMerge w:val="continue"/>
            <w:noWrap w:val="0"/>
            <w:vAlign w:val="center"/>
          </w:tcPr>
          <w:p>
            <w:pPr>
              <w:rPr>
                <w:rFonts w:ascii="Times New Roman" w:hAnsi="Times New Roman"/>
                <w:color w:val="000000"/>
                <w:szCs w:val="21"/>
              </w:rPr>
            </w:pPr>
          </w:p>
        </w:tc>
        <w:tc>
          <w:tcPr>
            <w:tcW w:w="2451" w:type="dxa"/>
            <w:noWrap w:val="0"/>
            <w:vAlign w:val="center"/>
          </w:tcPr>
          <w:p>
            <w:pPr>
              <w:widowControl/>
              <w:rPr>
                <w:rFonts w:ascii="Times New Roman" w:hAnsi="Times New Roman"/>
                <w:color w:val="000000"/>
                <w:szCs w:val="21"/>
              </w:rPr>
            </w:pPr>
            <w:r>
              <w:rPr>
                <w:rFonts w:ascii="Times New Roman" w:hAnsi="Times New Roman"/>
                <w:color w:val="000000"/>
                <w:szCs w:val="21"/>
              </w:rPr>
              <w:t>双学士</w:t>
            </w:r>
            <w:r>
              <w:rPr>
                <w:rFonts w:hint="eastAsia"/>
                <w:color w:val="000000"/>
                <w:szCs w:val="21"/>
                <w:lang w:val="en-US" w:eastAsia="zh-CN"/>
              </w:rPr>
              <w:t>学位</w:t>
            </w:r>
            <w:r>
              <w:rPr>
                <w:rFonts w:ascii="Times New Roman" w:hAnsi="Times New Roman"/>
                <w:color w:val="000000"/>
                <w:szCs w:val="21"/>
              </w:rPr>
              <w:t>或研究生班毕业</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工作满3年，其中从事计量技术工作满2年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textDirection w:val="tbRlV"/>
            <w:vAlign w:val="center"/>
          </w:tcPr>
          <w:p>
            <w:pPr>
              <w:widowControl/>
              <w:jc w:val="center"/>
              <w:rPr>
                <w:rFonts w:ascii="Times New Roman" w:hAnsi="Times New Roman" w:eastAsia="黑体"/>
                <w:b/>
                <w:bCs/>
                <w:color w:val="000000"/>
                <w:kern w:val="0"/>
                <w:szCs w:val="21"/>
              </w:rPr>
            </w:pPr>
          </w:p>
        </w:tc>
        <w:tc>
          <w:tcPr>
            <w:tcW w:w="1913" w:type="dxa"/>
            <w:vMerge w:val="continue"/>
            <w:noWrap w:val="0"/>
            <w:vAlign w:val="center"/>
          </w:tcPr>
          <w:p>
            <w:pPr>
              <w:jc w:val="center"/>
              <w:rPr>
                <w:rFonts w:ascii="Times New Roman" w:hAnsi="Times New Roman"/>
                <w:color w:val="000000"/>
                <w:szCs w:val="21"/>
              </w:rPr>
            </w:pPr>
          </w:p>
        </w:tc>
        <w:tc>
          <w:tcPr>
            <w:tcW w:w="486" w:type="dxa"/>
            <w:vMerge w:val="continue"/>
            <w:noWrap w:val="0"/>
            <w:vAlign w:val="center"/>
          </w:tcPr>
          <w:p>
            <w:pPr>
              <w:rPr>
                <w:rFonts w:ascii="Times New Roman" w:hAnsi="Times New Roman"/>
                <w:color w:val="000000"/>
                <w:szCs w:val="21"/>
              </w:rPr>
            </w:pPr>
          </w:p>
        </w:tc>
        <w:tc>
          <w:tcPr>
            <w:tcW w:w="2451" w:type="dxa"/>
            <w:noWrap w:val="0"/>
            <w:vAlign w:val="center"/>
          </w:tcPr>
          <w:p>
            <w:pPr>
              <w:widowControl/>
              <w:rPr>
                <w:rFonts w:ascii="Times New Roman" w:hAnsi="Times New Roman"/>
                <w:color w:val="000000"/>
                <w:szCs w:val="21"/>
              </w:rPr>
            </w:pPr>
            <w:r>
              <w:rPr>
                <w:rFonts w:ascii="Times New Roman" w:hAnsi="Times New Roman"/>
                <w:color w:val="000000"/>
                <w:szCs w:val="21"/>
              </w:rPr>
              <w:t>大学本科</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工作满4年，其中从事计量技术工作满3年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7" w:type="dxa"/>
            <w:vMerge w:val="continue"/>
            <w:noWrap w:val="0"/>
            <w:textDirection w:val="tbRlV"/>
            <w:vAlign w:val="center"/>
          </w:tcPr>
          <w:p>
            <w:pPr>
              <w:widowControl/>
              <w:jc w:val="center"/>
              <w:rPr>
                <w:rFonts w:ascii="Times New Roman" w:hAnsi="Times New Roman" w:eastAsia="黑体"/>
                <w:b/>
                <w:bCs/>
                <w:color w:val="000000"/>
                <w:kern w:val="0"/>
                <w:szCs w:val="21"/>
              </w:rPr>
            </w:pPr>
          </w:p>
        </w:tc>
        <w:tc>
          <w:tcPr>
            <w:tcW w:w="1913" w:type="dxa"/>
            <w:vMerge w:val="continue"/>
            <w:noWrap w:val="0"/>
            <w:vAlign w:val="center"/>
          </w:tcPr>
          <w:p>
            <w:pPr>
              <w:jc w:val="center"/>
              <w:rPr>
                <w:rFonts w:ascii="Times New Roman" w:hAnsi="Times New Roman"/>
                <w:color w:val="000000"/>
                <w:szCs w:val="21"/>
              </w:rPr>
            </w:pPr>
          </w:p>
        </w:tc>
        <w:tc>
          <w:tcPr>
            <w:tcW w:w="486" w:type="dxa"/>
            <w:vMerge w:val="continue"/>
            <w:noWrap w:val="0"/>
            <w:vAlign w:val="center"/>
          </w:tcPr>
          <w:p>
            <w:pPr>
              <w:rPr>
                <w:rFonts w:ascii="Times New Roman" w:hAnsi="Times New Roman"/>
                <w:color w:val="000000"/>
                <w:szCs w:val="21"/>
              </w:rPr>
            </w:pPr>
          </w:p>
        </w:tc>
        <w:tc>
          <w:tcPr>
            <w:tcW w:w="2451" w:type="dxa"/>
            <w:noWrap w:val="0"/>
            <w:vAlign w:val="center"/>
          </w:tcPr>
          <w:p>
            <w:pPr>
              <w:widowControl/>
              <w:rPr>
                <w:rFonts w:ascii="Times New Roman" w:hAnsi="Times New Roman"/>
                <w:color w:val="000000"/>
                <w:szCs w:val="21"/>
              </w:rPr>
            </w:pPr>
            <w:r>
              <w:rPr>
                <w:rFonts w:ascii="Times New Roman" w:hAnsi="Times New Roman"/>
                <w:color w:val="000000"/>
                <w:szCs w:val="21"/>
              </w:rPr>
              <w:t>大学专科</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工作满6年，其中从事计量技术工作满4年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7" w:type="dxa"/>
            <w:vMerge w:val="continue"/>
            <w:noWrap w:val="0"/>
            <w:vAlign w:val="top"/>
          </w:tcPr>
          <w:p>
            <w:pPr>
              <w:rPr>
                <w:rFonts w:ascii="Times New Roman" w:hAnsi="Times New Roman"/>
                <w:b/>
                <w:bCs/>
                <w:color w:val="000000"/>
                <w:sz w:val="44"/>
                <w:szCs w:val="44"/>
              </w:rPr>
            </w:pPr>
          </w:p>
        </w:tc>
        <w:tc>
          <w:tcPr>
            <w:tcW w:w="1913" w:type="dxa"/>
            <w:vMerge w:val="continue"/>
            <w:noWrap w:val="0"/>
            <w:vAlign w:val="center"/>
          </w:tcPr>
          <w:p>
            <w:pPr>
              <w:jc w:val="center"/>
              <w:rPr>
                <w:rFonts w:ascii="Times New Roman" w:hAnsi="Times New Roman"/>
                <w:color w:val="000000"/>
                <w:szCs w:val="21"/>
              </w:rPr>
            </w:pPr>
          </w:p>
        </w:tc>
        <w:tc>
          <w:tcPr>
            <w:tcW w:w="7323" w:type="dxa"/>
            <w:gridSpan w:val="4"/>
            <w:noWrap w:val="0"/>
            <w:vAlign w:val="center"/>
          </w:tcPr>
          <w:p>
            <w:pPr>
              <w:rPr>
                <w:rFonts w:ascii="Times New Roman" w:hAnsi="Times New Roman"/>
                <w:color w:val="000000"/>
                <w:szCs w:val="21"/>
              </w:rPr>
            </w:pPr>
            <w:r>
              <w:rPr>
                <w:rFonts w:ascii="Times New Roman" w:hAnsi="Times New Roman"/>
                <w:color w:val="000000"/>
                <w:szCs w:val="21"/>
              </w:rPr>
              <w:t>取得其他类专业相应学历、学位的人员，其工作年限和从事计量技术工作</w:t>
            </w:r>
            <w:r>
              <w:rPr>
                <w:rFonts w:hint="eastAsia"/>
                <w:color w:val="000000"/>
                <w:szCs w:val="21"/>
                <w:lang w:val="en-US" w:eastAsia="zh-CN"/>
              </w:rPr>
              <w:t>最低</w:t>
            </w:r>
            <w:r>
              <w:rPr>
                <w:rFonts w:ascii="Times New Roman" w:hAnsi="Times New Roman"/>
                <w:color w:val="000000"/>
                <w:szCs w:val="21"/>
              </w:rPr>
              <w:t>年限相应增加</w:t>
            </w:r>
            <w:r>
              <w:rPr>
                <w:rFonts w:hint="eastAsia"/>
                <w:color w:val="000000"/>
                <w:szCs w:val="21"/>
                <w:lang w:val="en-US" w:eastAsia="zh-CN"/>
              </w:rPr>
              <w:t>1</w:t>
            </w:r>
            <w:r>
              <w:rPr>
                <w:rFonts w:ascii="Times New Roman" w:hAnsi="Times New Roman"/>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917" w:type="dxa"/>
            <w:vMerge w:val="continue"/>
            <w:noWrap w:val="0"/>
            <w:vAlign w:val="top"/>
          </w:tcPr>
          <w:p>
            <w:pPr>
              <w:rPr>
                <w:rFonts w:ascii="Times New Roman" w:hAnsi="Times New Roman"/>
                <w:b/>
                <w:bCs/>
                <w:color w:val="000000"/>
                <w:sz w:val="44"/>
                <w:szCs w:val="44"/>
              </w:rPr>
            </w:pPr>
          </w:p>
        </w:tc>
        <w:tc>
          <w:tcPr>
            <w:tcW w:w="1913" w:type="dxa"/>
            <w:noWrap w:val="0"/>
            <w:vAlign w:val="center"/>
          </w:tcPr>
          <w:p>
            <w:pPr>
              <w:jc w:val="center"/>
              <w:rPr>
                <w:rFonts w:ascii="Times New Roman" w:hAnsi="Times New Roman"/>
                <w:color w:val="000000"/>
                <w:szCs w:val="21"/>
              </w:rPr>
            </w:pPr>
            <w:r>
              <w:rPr>
                <w:rFonts w:ascii="Times New Roman" w:hAnsi="Times New Roman"/>
                <w:color w:val="000000"/>
                <w:szCs w:val="21"/>
              </w:rPr>
              <w:t>二级</w:t>
            </w:r>
          </w:p>
        </w:tc>
        <w:tc>
          <w:tcPr>
            <w:tcW w:w="486" w:type="dxa"/>
            <w:noWrap w:val="0"/>
            <w:vAlign w:val="center"/>
          </w:tcPr>
          <w:p>
            <w:pPr>
              <w:widowControl/>
              <w:rPr>
                <w:rFonts w:hint="eastAsia" w:ascii="Times New Roman" w:hAnsi="Times New Roman" w:eastAsia="宋体"/>
                <w:color w:val="000000"/>
                <w:szCs w:val="21"/>
                <w:lang w:eastAsia="zh-CN"/>
              </w:rPr>
            </w:pPr>
            <w:r>
              <w:rPr>
                <w:rFonts w:hint="eastAsia"/>
                <w:color w:val="000000"/>
                <w:szCs w:val="21"/>
                <w:lang w:val="en-US" w:eastAsia="zh-CN"/>
              </w:rPr>
              <w:t>不限</w:t>
            </w:r>
          </w:p>
        </w:tc>
        <w:tc>
          <w:tcPr>
            <w:tcW w:w="2451"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中专以上学历或学位</w:t>
            </w:r>
          </w:p>
        </w:tc>
        <w:tc>
          <w:tcPr>
            <w:tcW w:w="4386" w:type="dxa"/>
            <w:gridSpan w:val="2"/>
            <w:noWrap w:val="0"/>
            <w:vAlign w:val="center"/>
          </w:tcPr>
          <w:p>
            <w:pPr>
              <w:rPr>
                <w:rFonts w:ascii="Times New Roman" w:hAnsi="Times New Roman"/>
                <w:color w:val="000000"/>
                <w:szCs w:val="21"/>
              </w:rPr>
            </w:pPr>
            <w:r>
              <w:rPr>
                <w:rFonts w:ascii="Times New Roman" w:hAnsi="Times New Roman"/>
                <w:color w:val="000000"/>
                <w:szCs w:val="21"/>
              </w:rPr>
              <w:t>从事计量技术工作满1年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1" w:hRule="atLeast"/>
          <w:jc w:val="center"/>
        </w:trPr>
        <w:tc>
          <w:tcPr>
            <w:tcW w:w="917" w:type="dxa"/>
            <w:vMerge w:val="continue"/>
            <w:noWrap w:val="0"/>
            <w:vAlign w:val="top"/>
          </w:tcPr>
          <w:p>
            <w:pPr>
              <w:rPr>
                <w:rFonts w:ascii="Times New Roman" w:hAnsi="Times New Roman"/>
                <w:b/>
                <w:bCs/>
                <w:color w:val="000000"/>
                <w:sz w:val="44"/>
                <w:szCs w:val="44"/>
              </w:rPr>
            </w:pPr>
          </w:p>
        </w:tc>
        <w:tc>
          <w:tcPr>
            <w:tcW w:w="9236" w:type="dxa"/>
            <w:gridSpan w:val="5"/>
            <w:noWrap w:val="0"/>
            <w:vAlign w:val="top"/>
          </w:tcPr>
          <w:p>
            <w:pPr>
              <w:widowControl/>
              <w:ind w:firstLine="420" w:firstLineChars="200"/>
              <w:jc w:val="left"/>
              <w:rPr>
                <w:rFonts w:hint="eastAsia"/>
                <w:color w:val="000000"/>
                <w:kern w:val="0"/>
                <w:szCs w:val="21"/>
                <w:lang w:val="en-US" w:eastAsia="zh-CN"/>
              </w:rPr>
            </w:pPr>
          </w:p>
          <w:p>
            <w:pPr>
              <w:widowControl/>
              <w:numPr>
                <w:ilvl w:val="0"/>
                <w:numId w:val="2"/>
              </w:numPr>
              <w:ind w:firstLine="420" w:firstLineChars="200"/>
              <w:jc w:val="left"/>
              <w:rPr>
                <w:rFonts w:hint="eastAsia" w:ascii="Times New Roman" w:hAnsi="Times New Roman"/>
                <w:color w:val="000000"/>
                <w:kern w:val="0"/>
                <w:szCs w:val="21"/>
                <w:lang w:eastAsia="zh-CN"/>
              </w:rPr>
            </w:pPr>
            <w:r>
              <w:rPr>
                <w:rFonts w:hint="eastAsia" w:ascii="Times New Roman" w:hAnsi="Times New Roman"/>
                <w:color w:val="000000"/>
                <w:kern w:val="0"/>
                <w:szCs w:val="21"/>
              </w:rPr>
              <w:t>一级注册计量师职业资格考试</w:t>
            </w:r>
            <w:r>
              <w:rPr>
                <w:rFonts w:hint="eastAsia"/>
                <w:color w:val="000000"/>
                <w:kern w:val="0"/>
                <w:szCs w:val="21"/>
                <w:lang w:val="en-US" w:eastAsia="zh-CN"/>
              </w:rPr>
              <w:t>:</w:t>
            </w:r>
            <w:r>
              <w:rPr>
                <w:rFonts w:hint="eastAsia" w:ascii="Times New Roman" w:hAnsi="Times New Roman"/>
                <w:color w:val="000000"/>
                <w:kern w:val="0"/>
                <w:szCs w:val="21"/>
              </w:rPr>
              <w:t>参加全部3个科目考试（级别为考全科）的人员须在连续3个考试年度内通过全部应试科目，参加2个科目考试（级别为免一科）的人员须在连续2个考试年度内通过应试科目，方可取得一级注册计量师职业资格证书。</w:t>
            </w:r>
          </w:p>
          <w:p>
            <w:pPr>
              <w:widowControl/>
              <w:numPr>
                <w:ilvl w:val="0"/>
                <w:numId w:val="0"/>
              </w:numPr>
              <w:jc w:val="left"/>
              <w:rPr>
                <w:rFonts w:hint="eastAsia"/>
                <w:color w:val="000000"/>
                <w:szCs w:val="21"/>
                <w:lang w:eastAsia="zh-CN"/>
              </w:rPr>
            </w:pPr>
          </w:p>
          <w:p>
            <w:pPr>
              <w:widowControl/>
              <w:numPr>
                <w:ilvl w:val="0"/>
                <w:numId w:val="2"/>
              </w:numPr>
              <w:ind w:left="0" w:leftChars="0" w:firstLine="420" w:firstLineChars="200"/>
              <w:jc w:val="left"/>
              <w:rPr>
                <w:rFonts w:hint="eastAsia" w:ascii="Times New Roman" w:hAnsi="Times New Roman"/>
                <w:color w:val="000000"/>
                <w:kern w:val="0"/>
                <w:szCs w:val="21"/>
              </w:rPr>
            </w:pPr>
            <w:r>
              <w:rPr>
                <w:rFonts w:hint="eastAsia" w:ascii="Times New Roman" w:hAnsi="Times New Roman"/>
                <w:color w:val="000000"/>
                <w:kern w:val="0"/>
                <w:szCs w:val="21"/>
              </w:rPr>
              <w:t>二级注册计量师职业资格考试</w:t>
            </w:r>
            <w:r>
              <w:rPr>
                <w:rFonts w:hint="eastAsia"/>
                <w:color w:val="000000"/>
                <w:kern w:val="0"/>
                <w:szCs w:val="21"/>
                <w:lang w:val="en-US" w:eastAsia="zh-CN"/>
              </w:rPr>
              <w:t>:</w:t>
            </w:r>
            <w:r>
              <w:rPr>
                <w:rFonts w:hint="eastAsia" w:ascii="Times New Roman" w:hAnsi="Times New Roman"/>
                <w:color w:val="000000"/>
                <w:kern w:val="0"/>
                <w:szCs w:val="21"/>
              </w:rPr>
              <w:t>参加全部2个科目考试（级别为考全科）的人员须在连续2个考试年度内通过全部应试科目，参加1个科目考试（级别为免一科）的人员须在1个考试年度内通过应试科目，方可取得二级注册计量师职业资格证书。</w:t>
            </w:r>
          </w:p>
          <w:p>
            <w:pPr>
              <w:widowControl/>
              <w:numPr>
                <w:ilvl w:val="0"/>
                <w:numId w:val="0"/>
              </w:numPr>
              <w:ind w:leftChars="200"/>
              <w:jc w:val="left"/>
              <w:rPr>
                <w:rFonts w:hint="eastAsia" w:ascii="Times New Roman" w:hAnsi="Times New Roman"/>
                <w:color w:val="000000"/>
                <w:kern w:val="0"/>
                <w:szCs w:val="21"/>
                <w:lang w:eastAsia="zh-CN"/>
              </w:rPr>
            </w:pPr>
          </w:p>
          <w:p>
            <w:pPr>
              <w:widowControl/>
              <w:numPr>
                <w:ilvl w:val="0"/>
                <w:numId w:val="2"/>
              </w:numPr>
              <w:ind w:left="0" w:leftChars="0" w:firstLine="420" w:firstLineChars="200"/>
              <w:jc w:val="left"/>
              <w:rPr>
                <w:rFonts w:hint="eastAsia"/>
                <w:color w:val="000000"/>
                <w:szCs w:val="21"/>
                <w:lang w:eastAsia="zh-CN"/>
              </w:rPr>
            </w:pPr>
            <w:r>
              <w:rPr>
                <w:rFonts w:hint="eastAsia"/>
                <w:color w:val="000000"/>
                <w:szCs w:val="21"/>
                <w:lang w:eastAsia="zh-CN"/>
              </w:rPr>
              <w:t>已取得工程系列或自然科学研究系列高级职称的人员，参加一级注册计量师职业资格考试时，可免试《计量法律法规及综合知识》科目，只参加《测量数据处理与计量专业实务》《计量专业案例分析》科目考试。免试科目的人员须在连续2个考试年度内通过应试科目，方可取得一级注册计量师职业资格证书。</w:t>
            </w:r>
          </w:p>
          <w:p>
            <w:pPr>
              <w:widowControl/>
              <w:numPr>
                <w:ilvl w:val="0"/>
                <w:numId w:val="0"/>
              </w:numPr>
              <w:ind w:leftChars="200"/>
              <w:jc w:val="left"/>
              <w:rPr>
                <w:rFonts w:hint="eastAsia"/>
                <w:color w:val="000000"/>
                <w:szCs w:val="21"/>
                <w:lang w:eastAsia="zh-CN"/>
              </w:rPr>
            </w:pPr>
          </w:p>
          <w:p>
            <w:pPr>
              <w:widowControl/>
              <w:numPr>
                <w:ilvl w:val="0"/>
                <w:numId w:val="2"/>
              </w:numPr>
              <w:ind w:left="0" w:leftChars="0" w:firstLine="420" w:firstLineChars="200"/>
              <w:jc w:val="left"/>
              <w:rPr>
                <w:rFonts w:hint="eastAsia"/>
                <w:color w:val="000000"/>
                <w:szCs w:val="21"/>
                <w:lang w:eastAsia="zh-CN"/>
              </w:rPr>
            </w:pPr>
            <w:r>
              <w:rPr>
                <w:rFonts w:hint="eastAsia"/>
                <w:color w:val="000000"/>
                <w:szCs w:val="21"/>
                <w:lang w:eastAsia="zh-CN"/>
              </w:rPr>
              <w:t>取得原各级质量技术监督部门颁发的《计量检定员证》的人员，参加二级注册计量师职业资格考试时，可免试《计量专业实务与案例分析》科目，只参加《计量法律法规及综合知识》科目考试。免试科目的人员须在1个考试年度内通过应试科目，方可取得二级注册计量师职业资格证书。</w:t>
            </w:r>
          </w:p>
          <w:p>
            <w:pPr>
              <w:widowControl/>
              <w:numPr>
                <w:ilvl w:val="0"/>
                <w:numId w:val="0"/>
              </w:numPr>
              <w:ind w:leftChars="200"/>
              <w:jc w:val="left"/>
              <w:rPr>
                <w:rFonts w:hint="eastAsia"/>
                <w:color w:val="000000"/>
                <w:szCs w:val="21"/>
                <w:lang w:eastAsia="zh-CN"/>
              </w:rPr>
            </w:pPr>
          </w:p>
          <w:p>
            <w:pPr>
              <w:widowControl/>
              <w:numPr>
                <w:ilvl w:val="0"/>
                <w:numId w:val="2"/>
              </w:numPr>
              <w:ind w:left="0" w:leftChars="0" w:firstLine="420" w:firstLineChars="200"/>
              <w:jc w:val="left"/>
              <w:rPr>
                <w:rFonts w:hint="eastAsia"/>
                <w:color w:val="000000"/>
                <w:szCs w:val="21"/>
                <w:lang w:eastAsia="zh-CN"/>
              </w:rPr>
            </w:pPr>
            <w:r>
              <w:rPr>
                <w:rFonts w:hint="eastAsia"/>
                <w:color w:val="000000"/>
                <w:szCs w:val="21"/>
                <w:lang w:eastAsia="zh-CN"/>
              </w:rPr>
              <w:t>工作年限按照报考人员自参加工作之日起累计从事工作或从事计量技术工作时间的总和计算，计算截止日期为考试当年度的12月31日。</w:t>
            </w:r>
          </w:p>
          <w:p>
            <w:pPr>
              <w:widowControl/>
              <w:numPr>
                <w:ilvl w:val="0"/>
                <w:numId w:val="0"/>
              </w:numPr>
              <w:ind w:leftChars="200"/>
              <w:jc w:val="left"/>
              <w:rPr>
                <w:rFonts w:hint="eastAsia"/>
                <w:color w:val="000000"/>
                <w:szCs w:val="21"/>
                <w:lang w:eastAsia="zh-CN"/>
              </w:rPr>
            </w:pPr>
          </w:p>
          <w:p>
            <w:pPr>
              <w:widowControl/>
              <w:numPr>
                <w:ilvl w:val="0"/>
                <w:numId w:val="2"/>
              </w:numPr>
              <w:ind w:left="0" w:leftChars="0" w:firstLine="420" w:firstLineChars="200"/>
              <w:jc w:val="left"/>
              <w:rPr>
                <w:rFonts w:hint="eastAsia"/>
                <w:color w:val="000000"/>
                <w:szCs w:val="21"/>
                <w:lang w:eastAsia="zh-CN"/>
              </w:rPr>
            </w:pPr>
            <w:r>
              <w:rPr>
                <w:rFonts w:hint="eastAsia"/>
                <w:color w:val="000000"/>
                <w:szCs w:val="21"/>
                <w:lang w:eastAsia="zh-CN"/>
              </w:rPr>
              <w:t>符合报名条件的香港、澳门和台湾居民可以申请参加注册计量师职业资格考试。香港、澳门和台湾居民持内地高等学校毕业证书报考的，可以直接填报相关信息；持香港、澳门和台湾地区或者国外高等学校学历、学位报考的，其学历、学位须经教育部留学服务中心认证。</w:t>
            </w:r>
          </w:p>
          <w:p>
            <w:pPr>
              <w:widowControl/>
              <w:jc w:val="left"/>
              <w:rPr>
                <w:rFonts w:hint="eastAsia"/>
                <w:color w:val="000000"/>
                <w:szCs w:val="21"/>
                <w:lang w:val="en-US" w:eastAsia="zh-CN"/>
              </w:rPr>
            </w:pPr>
            <w:r>
              <w:rPr>
                <w:rFonts w:hint="eastAsia"/>
                <w:color w:val="000000"/>
                <w:szCs w:val="21"/>
                <w:lang w:val="en-US" w:eastAsia="zh-CN"/>
              </w:rPr>
              <w:t xml:space="preserve">    </w:t>
            </w:r>
          </w:p>
          <w:p>
            <w:pPr>
              <w:widowControl/>
              <w:jc w:val="left"/>
              <w:rPr>
                <w:rFonts w:hint="default"/>
                <w:color w:val="000000"/>
                <w:szCs w:val="21"/>
                <w:lang w:val="en-US" w:eastAsia="zh-CN"/>
              </w:rPr>
            </w:pPr>
            <w:r>
              <w:rPr>
                <w:rFonts w:hint="eastAsia"/>
                <w:color w:val="000000"/>
                <w:szCs w:val="21"/>
                <w:lang w:val="en-US" w:eastAsia="zh-CN"/>
              </w:rPr>
              <w:t xml:space="preserve">    </w:t>
            </w: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tbl>
      <w:tblPr>
        <w:tblStyle w:val="6"/>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354"/>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0" w:type="dxa"/>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5354" w:type="dxa"/>
            <w:noWrap w:val="0"/>
            <w:vAlign w:val="center"/>
          </w:tcPr>
          <w:p>
            <w:pPr>
              <w:jc w:val="center"/>
              <w:rPr>
                <w:rFonts w:hint="eastAsia" w:eastAsia="黑体"/>
                <w:b/>
                <w:szCs w:val="21"/>
                <w:lang w:val="en-US" w:eastAsia="zh-CN"/>
              </w:rPr>
            </w:pPr>
            <w:r>
              <w:rPr>
                <w:rFonts w:hint="eastAsia" w:hAnsi="黑体" w:eastAsia="黑体"/>
                <w:b/>
                <w:szCs w:val="21"/>
                <w:lang w:val="en-US" w:eastAsia="zh-CN"/>
              </w:rPr>
              <w:t>所学</w:t>
            </w:r>
            <w:r>
              <w:rPr>
                <w:rFonts w:hAnsi="黑体" w:eastAsia="黑体"/>
                <w:b/>
                <w:szCs w:val="21"/>
              </w:rPr>
              <w:t>专业</w:t>
            </w:r>
            <w:r>
              <w:rPr>
                <w:rFonts w:hint="eastAsia" w:hAnsi="黑体" w:eastAsia="黑体"/>
                <w:b/>
                <w:szCs w:val="21"/>
                <w:lang w:eastAsia="zh-CN"/>
              </w:rPr>
              <w:t>、</w:t>
            </w:r>
            <w:r>
              <w:rPr>
                <w:rFonts w:hint="eastAsia" w:hAnsi="黑体" w:eastAsia="黑体"/>
                <w:b/>
                <w:szCs w:val="21"/>
                <w:lang w:val="en-US" w:eastAsia="zh-CN"/>
              </w:rPr>
              <w:t>职称、</w:t>
            </w:r>
            <w:r>
              <w:rPr>
                <w:rFonts w:hAnsi="黑体" w:eastAsia="黑体"/>
                <w:b/>
                <w:szCs w:val="21"/>
              </w:rPr>
              <w:t>学位或学历</w:t>
            </w:r>
          </w:p>
        </w:tc>
        <w:tc>
          <w:tcPr>
            <w:tcW w:w="4091" w:type="dxa"/>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restart"/>
            <w:shd w:val="clear" w:color="auto" w:fill="auto"/>
            <w:noWrap w:val="0"/>
            <w:vAlign w:val="top"/>
          </w:tcPr>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both"/>
              <w:rPr>
                <w:b/>
                <w:bCs/>
                <w:color w:val="000000"/>
                <w:kern w:val="0"/>
                <w:szCs w:val="21"/>
              </w:rPr>
            </w:pPr>
          </w:p>
          <w:p>
            <w:pPr>
              <w:jc w:val="center"/>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中</w:t>
            </w: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rPr>
            </w:pPr>
            <w:r>
              <w:rPr>
                <w:rFonts w:hint="default" w:ascii="Calibri" w:hAnsi="黑体" w:eastAsia="黑体" w:cs="Times New Roman"/>
                <w:b/>
                <w:color w:val="000000"/>
                <w:position w:val="0"/>
                <w:sz w:val="21"/>
                <w:szCs w:val="21"/>
              </w:rPr>
              <w:t>级</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册</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安</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全</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工</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程</w:t>
            </w:r>
          </w:p>
          <w:p>
            <w:pPr>
              <w:jc w:val="center"/>
              <w:rPr>
                <w:b/>
                <w:szCs w:val="21"/>
              </w:rPr>
            </w:pPr>
            <w:r>
              <w:rPr>
                <w:rFonts w:hint="default" w:ascii="Calibri" w:hAnsi="黑体" w:eastAsia="黑体" w:cs="Times New Roman"/>
                <w:b/>
                <w:color w:val="000000"/>
                <w:position w:val="0"/>
                <w:sz w:val="21"/>
                <w:szCs w:val="21"/>
              </w:rPr>
              <w:t>师</w:t>
            </w:r>
          </w:p>
        </w:tc>
        <w:tc>
          <w:tcPr>
            <w:tcW w:w="5354" w:type="dxa"/>
            <w:noWrap w:val="0"/>
            <w:vAlign w:val="center"/>
          </w:tcPr>
          <w:p>
            <w:pPr>
              <w:widowControl/>
              <w:rPr>
                <w:color w:val="000000"/>
                <w:kern w:val="0"/>
                <w:szCs w:val="21"/>
              </w:rPr>
            </w:pPr>
            <w:r>
              <w:rPr>
                <w:rFonts w:hint="eastAsia"/>
                <w:color w:val="000000"/>
                <w:szCs w:val="21"/>
              </w:rPr>
              <w:t>具有安全工程及相关专业大学专科学历</w:t>
            </w:r>
          </w:p>
        </w:tc>
        <w:tc>
          <w:tcPr>
            <w:tcW w:w="4091" w:type="dxa"/>
            <w:noWrap w:val="0"/>
            <w:vAlign w:val="center"/>
          </w:tcPr>
          <w:p>
            <w:pPr>
              <w:widowControl/>
              <w:rPr>
                <w:color w:val="000000"/>
                <w:kern w:val="0"/>
                <w:szCs w:val="21"/>
              </w:rPr>
            </w:pPr>
            <w:r>
              <w:rPr>
                <w:rFonts w:hint="eastAsia"/>
                <w:color w:val="000000"/>
                <w:kern w:val="0"/>
                <w:szCs w:val="21"/>
              </w:rPr>
              <w:t>从事安全生产业务满5年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color w:val="000000"/>
                <w:kern w:val="0"/>
                <w:szCs w:val="21"/>
              </w:rPr>
            </w:pPr>
            <w:r>
              <w:rPr>
                <w:rFonts w:hint="eastAsia"/>
                <w:color w:val="000000"/>
                <w:kern w:val="0"/>
                <w:szCs w:val="21"/>
              </w:rPr>
              <w:t>具有其他专业大学专科学历</w:t>
            </w:r>
          </w:p>
        </w:tc>
        <w:tc>
          <w:tcPr>
            <w:tcW w:w="4091" w:type="dxa"/>
            <w:noWrap w:val="0"/>
            <w:vAlign w:val="center"/>
          </w:tcPr>
          <w:p>
            <w:pPr>
              <w:widowControl/>
              <w:rPr>
                <w:color w:val="000000"/>
                <w:kern w:val="0"/>
                <w:szCs w:val="21"/>
              </w:rPr>
            </w:pPr>
            <w:r>
              <w:rPr>
                <w:rFonts w:hint="eastAsia"/>
                <w:color w:val="000000"/>
                <w:kern w:val="0"/>
                <w:szCs w:val="21"/>
              </w:rPr>
              <w:t>从事安全生产业务满</w:t>
            </w:r>
            <w:r>
              <w:rPr>
                <w:rFonts w:hint="eastAsia"/>
                <w:color w:val="000000"/>
                <w:kern w:val="0"/>
                <w:szCs w:val="21"/>
                <w:lang w:val="en-US" w:eastAsia="zh-CN"/>
              </w:rPr>
              <w:t>7</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default" w:eastAsia="宋体"/>
                <w:color w:val="000000"/>
                <w:kern w:val="0"/>
                <w:szCs w:val="21"/>
                <w:lang w:val="en-US" w:eastAsia="zh-CN"/>
              </w:rPr>
            </w:pPr>
            <w:r>
              <w:rPr>
                <w:rFonts w:hint="eastAsia"/>
                <w:color w:val="000000"/>
                <w:szCs w:val="21"/>
              </w:rPr>
              <w:t>具有安全工程及相关专业大学本科学历</w:t>
            </w:r>
          </w:p>
        </w:tc>
        <w:tc>
          <w:tcPr>
            <w:tcW w:w="4091" w:type="dxa"/>
            <w:noWrap w:val="0"/>
            <w:vAlign w:val="center"/>
          </w:tcPr>
          <w:p>
            <w:pPr>
              <w:widowControl/>
              <w:rPr>
                <w:color w:val="000000"/>
                <w:kern w:val="0"/>
                <w:szCs w:val="21"/>
              </w:rPr>
            </w:pPr>
            <w:r>
              <w:rPr>
                <w:rFonts w:hint="eastAsia"/>
                <w:color w:val="000000"/>
                <w:kern w:val="0"/>
                <w:szCs w:val="21"/>
              </w:rPr>
              <w:t>从事安全生产业务满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eastAsia="宋体"/>
                <w:b w:val="0"/>
                <w:bCs w:val="0"/>
                <w:color w:val="000000"/>
                <w:kern w:val="0"/>
                <w:szCs w:val="21"/>
                <w:lang w:val="en-US" w:eastAsia="zh-CN"/>
              </w:rPr>
            </w:pPr>
            <w:r>
              <w:rPr>
                <w:rFonts w:hint="eastAsia"/>
                <w:color w:val="000000"/>
                <w:kern w:val="0"/>
                <w:szCs w:val="21"/>
              </w:rPr>
              <w:t>具有其他专业大学</w:t>
            </w:r>
            <w:r>
              <w:rPr>
                <w:rFonts w:hint="eastAsia"/>
                <w:color w:val="000000"/>
                <w:kern w:val="0"/>
                <w:szCs w:val="21"/>
                <w:lang w:val="en-US" w:eastAsia="zh-CN"/>
              </w:rPr>
              <w:t>本</w:t>
            </w:r>
            <w:r>
              <w:rPr>
                <w:rFonts w:hint="eastAsia"/>
                <w:color w:val="000000"/>
                <w:kern w:val="0"/>
                <w:szCs w:val="21"/>
              </w:rPr>
              <w:t>科学历</w:t>
            </w:r>
          </w:p>
        </w:tc>
        <w:tc>
          <w:tcPr>
            <w:tcW w:w="4091" w:type="dxa"/>
            <w:noWrap w:val="0"/>
            <w:vAlign w:val="center"/>
          </w:tcPr>
          <w:p>
            <w:pPr>
              <w:widowControl/>
              <w:rPr>
                <w:b/>
                <w:bCs/>
                <w:color w:val="000000"/>
                <w:kern w:val="0"/>
                <w:szCs w:val="21"/>
              </w:rPr>
            </w:pPr>
            <w:r>
              <w:rPr>
                <w:rFonts w:hint="eastAsia"/>
                <w:color w:val="000000"/>
                <w:kern w:val="0"/>
                <w:szCs w:val="21"/>
              </w:rPr>
              <w:t>从事安全生产业务满</w:t>
            </w:r>
            <w:r>
              <w:rPr>
                <w:rFonts w:hint="eastAsia"/>
                <w:color w:val="000000"/>
                <w:kern w:val="0"/>
                <w:szCs w:val="21"/>
                <w:lang w:val="en-US" w:eastAsia="zh-CN"/>
              </w:rPr>
              <w:t>5</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b/>
                <w:bCs/>
                <w:color w:val="000000"/>
                <w:kern w:val="0"/>
                <w:szCs w:val="21"/>
              </w:rPr>
            </w:pPr>
            <w:r>
              <w:rPr>
                <w:rFonts w:hint="eastAsia"/>
                <w:b w:val="0"/>
                <w:bCs w:val="0"/>
                <w:color w:val="000000"/>
                <w:kern w:val="0"/>
                <w:szCs w:val="21"/>
              </w:rPr>
              <w:t>具有安全工程及相关专业第二学士学位</w:t>
            </w:r>
          </w:p>
        </w:tc>
        <w:tc>
          <w:tcPr>
            <w:tcW w:w="4091" w:type="dxa"/>
            <w:noWrap w:val="0"/>
            <w:vAlign w:val="center"/>
          </w:tcPr>
          <w:p>
            <w:pPr>
              <w:widowControl/>
              <w:rPr>
                <w:b/>
                <w:bCs/>
                <w:color w:val="000000"/>
                <w:kern w:val="0"/>
                <w:szCs w:val="21"/>
              </w:rPr>
            </w:pPr>
            <w:r>
              <w:rPr>
                <w:rFonts w:hint="eastAsia"/>
                <w:color w:val="000000"/>
                <w:kern w:val="0"/>
                <w:szCs w:val="21"/>
              </w:rPr>
              <w:t>从事安全生产业务满</w:t>
            </w:r>
            <w:r>
              <w:rPr>
                <w:rFonts w:hint="eastAsia"/>
                <w:color w:val="000000"/>
                <w:kern w:val="0"/>
                <w:szCs w:val="21"/>
                <w:lang w:val="en-US" w:eastAsia="zh-CN"/>
              </w:rPr>
              <w:t>2</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default" w:eastAsia="宋体"/>
                <w:szCs w:val="21"/>
                <w:lang w:val="en-US" w:eastAsia="zh-CN"/>
              </w:rPr>
            </w:pPr>
            <w:r>
              <w:rPr>
                <w:rFonts w:hint="eastAsia"/>
                <w:szCs w:val="21"/>
                <w:lang w:val="en-US" w:eastAsia="zh-CN"/>
              </w:rPr>
              <w:t>具有其他专业第二学士学位</w:t>
            </w:r>
          </w:p>
        </w:tc>
        <w:tc>
          <w:tcPr>
            <w:tcW w:w="4091" w:type="dxa"/>
            <w:noWrap w:val="0"/>
            <w:vAlign w:val="center"/>
          </w:tcPr>
          <w:p>
            <w:pPr>
              <w:widowControl/>
              <w:rPr>
                <w:szCs w:val="21"/>
              </w:rPr>
            </w:pPr>
            <w:r>
              <w:rPr>
                <w:rFonts w:hint="eastAsia"/>
                <w:color w:val="000000"/>
                <w:kern w:val="0"/>
                <w:szCs w:val="21"/>
              </w:rPr>
              <w:t>从事安全生产业务满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eastAsia="宋体"/>
                <w:color w:val="000000"/>
                <w:kern w:val="0"/>
                <w:szCs w:val="21"/>
                <w:lang w:eastAsia="zh-CN"/>
              </w:rPr>
            </w:pPr>
            <w:r>
              <w:rPr>
                <w:rFonts w:hint="eastAsia" w:eastAsia="宋体"/>
                <w:color w:val="000000"/>
                <w:kern w:val="0"/>
                <w:szCs w:val="21"/>
                <w:lang w:eastAsia="zh-CN"/>
              </w:rPr>
              <w:t>具有安全工程及相关专业硕士学位</w:t>
            </w:r>
          </w:p>
        </w:tc>
        <w:tc>
          <w:tcPr>
            <w:tcW w:w="4091" w:type="dxa"/>
            <w:noWrap w:val="0"/>
            <w:vAlign w:val="center"/>
          </w:tcPr>
          <w:p>
            <w:pPr>
              <w:widowControl/>
              <w:rPr>
                <w:rFonts w:hint="eastAsia" w:eastAsia="宋体"/>
                <w:color w:val="000000"/>
                <w:kern w:val="0"/>
                <w:szCs w:val="21"/>
                <w:lang w:eastAsia="zh-CN"/>
              </w:rPr>
            </w:pPr>
            <w:r>
              <w:rPr>
                <w:rFonts w:hint="eastAsia"/>
                <w:color w:val="000000"/>
                <w:kern w:val="0"/>
                <w:szCs w:val="21"/>
              </w:rPr>
              <w:t>从事安全生产业务满</w:t>
            </w:r>
            <w:r>
              <w:rPr>
                <w:rFonts w:hint="eastAsia"/>
                <w:color w:val="000000"/>
                <w:kern w:val="0"/>
                <w:szCs w:val="21"/>
                <w:lang w:val="en-US" w:eastAsia="zh-CN"/>
              </w:rPr>
              <w:t>1</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color w:val="000000"/>
                <w:kern w:val="0"/>
                <w:szCs w:val="21"/>
              </w:rPr>
            </w:pPr>
            <w:r>
              <w:rPr>
                <w:rFonts w:hint="eastAsia"/>
                <w:color w:val="000000"/>
                <w:kern w:val="0"/>
                <w:szCs w:val="21"/>
              </w:rPr>
              <w:t>具有其他专业硕士学位</w:t>
            </w:r>
          </w:p>
        </w:tc>
        <w:tc>
          <w:tcPr>
            <w:tcW w:w="4091" w:type="dxa"/>
            <w:noWrap w:val="0"/>
            <w:vAlign w:val="center"/>
          </w:tcPr>
          <w:p>
            <w:pPr>
              <w:widowControl/>
              <w:rPr>
                <w:rFonts w:hint="eastAsia"/>
                <w:color w:val="000000"/>
                <w:kern w:val="0"/>
                <w:szCs w:val="21"/>
              </w:rPr>
            </w:pPr>
            <w:r>
              <w:rPr>
                <w:rFonts w:hint="eastAsia"/>
                <w:color w:val="000000"/>
                <w:kern w:val="0"/>
                <w:szCs w:val="21"/>
              </w:rPr>
              <w:t>从事安全生产业务满</w:t>
            </w:r>
            <w:r>
              <w:rPr>
                <w:rFonts w:hint="eastAsia"/>
                <w:color w:val="000000"/>
                <w:kern w:val="0"/>
                <w:szCs w:val="21"/>
                <w:lang w:val="en-US" w:eastAsia="zh-CN"/>
              </w:rPr>
              <w:t>2</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default" w:eastAsia="宋体"/>
                <w:color w:val="000000"/>
                <w:kern w:val="0"/>
                <w:szCs w:val="21"/>
                <w:lang w:val="en-US" w:eastAsia="zh-CN"/>
              </w:rPr>
            </w:pPr>
            <w:r>
              <w:rPr>
                <w:rFonts w:hint="eastAsia"/>
                <w:color w:val="000000"/>
                <w:kern w:val="0"/>
                <w:szCs w:val="21"/>
                <w:lang w:val="en-US" w:eastAsia="zh-CN"/>
              </w:rPr>
              <w:t>具有博士学位</w:t>
            </w:r>
          </w:p>
        </w:tc>
        <w:tc>
          <w:tcPr>
            <w:tcW w:w="4091" w:type="dxa"/>
            <w:noWrap w:val="0"/>
            <w:vAlign w:val="center"/>
          </w:tcPr>
          <w:p>
            <w:pPr>
              <w:widowControl/>
              <w:rPr>
                <w:rFonts w:hint="eastAsia"/>
                <w:color w:val="000000"/>
                <w:kern w:val="0"/>
                <w:szCs w:val="21"/>
              </w:rPr>
            </w:pPr>
            <w:r>
              <w:rPr>
                <w:rFonts w:hint="eastAsia"/>
                <w:color w:val="000000"/>
                <w:kern w:val="0"/>
                <w:szCs w:val="21"/>
              </w:rPr>
              <w:t>从事安全生产业务满</w:t>
            </w:r>
            <w:r>
              <w:rPr>
                <w:rFonts w:hint="eastAsia"/>
                <w:color w:val="000000"/>
                <w:kern w:val="0"/>
                <w:szCs w:val="21"/>
                <w:lang w:val="en-US" w:eastAsia="zh-CN"/>
              </w:rPr>
              <w:t>1</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color w:val="000000"/>
                <w:kern w:val="0"/>
                <w:szCs w:val="21"/>
              </w:rPr>
            </w:pPr>
            <w:r>
              <w:rPr>
                <w:rFonts w:hint="eastAsia"/>
                <w:color w:val="000000"/>
                <w:kern w:val="0"/>
                <w:szCs w:val="21"/>
              </w:rPr>
              <w:t>取得初级注册安全工程师职业资格后</w:t>
            </w:r>
          </w:p>
        </w:tc>
        <w:tc>
          <w:tcPr>
            <w:tcW w:w="4091" w:type="dxa"/>
            <w:noWrap w:val="0"/>
            <w:vAlign w:val="center"/>
          </w:tcPr>
          <w:p>
            <w:pPr>
              <w:widowControl/>
              <w:rPr>
                <w:rFonts w:hint="eastAsia"/>
                <w:color w:val="000000"/>
                <w:kern w:val="0"/>
                <w:szCs w:val="21"/>
              </w:rPr>
            </w:pPr>
            <w:r>
              <w:rPr>
                <w:rFonts w:hint="eastAsia"/>
                <w:color w:val="000000"/>
                <w:kern w:val="0"/>
                <w:szCs w:val="21"/>
              </w:rPr>
              <w:t>从事安全生产业务满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6" w:hRule="exact"/>
          <w:jc w:val="center"/>
        </w:trPr>
        <w:tc>
          <w:tcPr>
            <w:tcW w:w="920" w:type="dxa"/>
            <w:vMerge w:val="continue"/>
            <w:shd w:val="clear" w:color="auto" w:fill="auto"/>
            <w:noWrap w:val="0"/>
            <w:vAlign w:val="top"/>
          </w:tcPr>
          <w:p>
            <w:pPr>
              <w:rPr>
                <w:b/>
                <w:szCs w:val="21"/>
              </w:rPr>
            </w:pPr>
          </w:p>
        </w:tc>
        <w:tc>
          <w:tcPr>
            <w:tcW w:w="9445" w:type="dxa"/>
            <w:gridSpan w:val="2"/>
            <w:noWrap w:val="0"/>
            <w:vAlign w:val="center"/>
          </w:tcPr>
          <w:p>
            <w:pPr>
              <w:numPr>
                <w:ilvl w:val="0"/>
                <w:numId w:val="0"/>
              </w:numPr>
              <w:ind w:firstLine="420" w:firstLineChars="200"/>
              <w:rPr>
                <w:rFonts w:hint="eastAsia"/>
                <w:szCs w:val="21"/>
                <w:lang w:val="en-US" w:eastAsia="zh-CN"/>
              </w:rPr>
            </w:pPr>
          </w:p>
          <w:p>
            <w:pPr>
              <w:numPr>
                <w:ilvl w:val="0"/>
                <w:numId w:val="0"/>
              </w:numPr>
              <w:ind w:firstLine="420" w:firstLineChars="200"/>
              <w:rPr>
                <w:rFonts w:hint="eastAsia"/>
                <w:szCs w:val="21"/>
                <w:lang w:val="en-US" w:eastAsia="zh-CN"/>
              </w:rPr>
            </w:pPr>
          </w:p>
          <w:p>
            <w:pPr>
              <w:numPr>
                <w:ilvl w:val="0"/>
                <w:numId w:val="3"/>
              </w:numPr>
              <w:ind w:firstLine="420" w:firstLineChars="200"/>
              <w:rPr>
                <w:rFonts w:hint="eastAsia"/>
                <w:szCs w:val="21"/>
                <w:lang w:eastAsia="zh-CN"/>
              </w:rPr>
            </w:pPr>
            <w:r>
              <w:rPr>
                <w:rFonts w:hint="eastAsia"/>
                <w:szCs w:val="21"/>
                <w:lang w:eastAsia="zh-CN"/>
              </w:rPr>
              <w:t>参加全部4个科目考试的人员须在连续4个考试年度内通过全部科目，免试1个科目的人员须在连续3个考试年度内通过应试科目，免试2个科目的人员须在连续2个考试年度内通过应试科目，方可取得中级注册安全工程师职业资格证书。</w:t>
            </w:r>
          </w:p>
          <w:p>
            <w:pPr>
              <w:numPr>
                <w:ilvl w:val="0"/>
                <w:numId w:val="3"/>
              </w:numPr>
              <w:ind w:left="0" w:leftChars="0" w:firstLine="420" w:firstLineChars="200"/>
              <w:rPr>
                <w:rFonts w:hint="eastAsia"/>
                <w:szCs w:val="21"/>
                <w:lang w:eastAsia="zh-CN"/>
              </w:rPr>
            </w:pPr>
            <w:r>
              <w:rPr>
                <w:rFonts w:hint="eastAsia"/>
                <w:szCs w:val="21"/>
                <w:lang w:eastAsia="zh-CN"/>
              </w:rPr>
              <w:t>已取得中级注册安全工程师职业资格证书的人员，报名参加其他专业类别考试的，考试合格后，核发人力资源社会保障部统一印制的相应专业类别考试合格证明。</w:t>
            </w:r>
          </w:p>
          <w:p>
            <w:pPr>
              <w:numPr>
                <w:ilvl w:val="0"/>
                <w:numId w:val="3"/>
              </w:numPr>
              <w:ind w:left="0" w:leftChars="0" w:firstLine="420" w:firstLineChars="200"/>
              <w:rPr>
                <w:rFonts w:hint="eastAsia"/>
                <w:szCs w:val="21"/>
                <w:lang w:eastAsia="zh-CN"/>
              </w:rPr>
            </w:pPr>
            <w:r>
              <w:rPr>
                <w:rFonts w:hint="eastAsia"/>
                <w:szCs w:val="21"/>
                <w:lang w:eastAsia="zh-CN"/>
              </w:rPr>
              <w:t>符合中级注册安全工程师职业资格考试报名条件，具有高级或正高级工程师职称，并从事安全生产业务满10年的人员，可免试《安全生产管理》和《安全生产技术基础》2个科目。</w:t>
            </w:r>
          </w:p>
          <w:p>
            <w:pPr>
              <w:numPr>
                <w:ilvl w:val="0"/>
                <w:numId w:val="3"/>
              </w:numPr>
              <w:ind w:left="0" w:leftChars="0" w:firstLine="420" w:firstLineChars="200"/>
              <w:rPr>
                <w:rFonts w:hint="eastAsia"/>
                <w:szCs w:val="21"/>
                <w:lang w:eastAsia="zh-CN"/>
              </w:rPr>
            </w:pPr>
            <w:r>
              <w:rPr>
                <w:rFonts w:hint="eastAsia"/>
                <w:szCs w:val="21"/>
                <w:lang w:eastAsia="zh-CN"/>
              </w:rPr>
              <w:t>符合中级注册安全工程师职业资格考试报名条件，本科毕业时所学安全工程专业经全国工程教育专业认证的人员，可免试《安全生产技术基础》科目。</w:t>
            </w:r>
          </w:p>
          <w:p>
            <w:pPr>
              <w:numPr>
                <w:ilvl w:val="0"/>
                <w:numId w:val="3"/>
              </w:numPr>
              <w:ind w:left="0" w:leftChars="0" w:firstLine="420" w:firstLineChars="200"/>
              <w:rPr>
                <w:rFonts w:hint="eastAsia"/>
                <w:szCs w:val="21"/>
                <w:lang w:eastAsia="zh-CN"/>
              </w:rPr>
            </w:pPr>
            <w:r>
              <w:rPr>
                <w:rFonts w:hint="eastAsia"/>
                <w:szCs w:val="21"/>
                <w:lang w:eastAsia="zh-CN"/>
              </w:rPr>
              <w:t>为保证中级注册安全工程师职业资格考试的平稳过渡，新旧制度衔接按以下要求进行：按原制度文件报考条件报考2018年度注册安全工程师执业资格考试全部四个科目（考全科）且取得部分考试科目合格成绩的人员（含中专学历人员），继续报考中级注册安全工程师职业资格考试全部四个科目（考全科）时,其2018年度及之后年度取得的各科目合格成绩有效期均按新制度规定的4年为一个周期进行管理；未选择过报考专业类别的人员，2020年度再次报考时可根据所在单位行业类别，参考《注册安全工程师职业资格制度规定》中“各专业类别注册安全工程师职业行业界定表”,选择报考专业类别。已经取得注册安全工程师执业资格证书或中级注册安全工程师职业资格证书的人员（含中专学历人员），可以报名参加其他专业类别考试（增报专业）。</w:t>
            </w:r>
          </w:p>
          <w:p>
            <w:pPr>
              <w:numPr>
                <w:ilvl w:val="0"/>
                <w:numId w:val="3"/>
              </w:numPr>
              <w:ind w:left="0" w:leftChars="0" w:firstLine="420" w:firstLineChars="200"/>
              <w:rPr>
                <w:rFonts w:hint="eastAsia"/>
                <w:szCs w:val="21"/>
                <w:lang w:eastAsia="zh-CN"/>
              </w:rPr>
            </w:pPr>
            <w:r>
              <w:rPr>
                <w:rFonts w:hint="eastAsia"/>
                <w:szCs w:val="21"/>
                <w:lang w:eastAsia="zh-CN"/>
              </w:rPr>
              <w:t>《注册安全工程师职业资格考试安全工程及相关专业参考目录》见附件</w:t>
            </w:r>
            <w:r>
              <w:rPr>
                <w:rFonts w:hint="eastAsia"/>
                <w:szCs w:val="21"/>
                <w:lang w:val="en-US" w:eastAsia="zh-CN"/>
              </w:rPr>
              <w:t>7</w:t>
            </w:r>
            <w:r>
              <w:rPr>
                <w:rFonts w:hint="eastAsia"/>
                <w:szCs w:val="21"/>
                <w:lang w:eastAsia="zh-CN"/>
              </w:rPr>
              <w:t>。</w:t>
            </w: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tc>
      </w:tr>
    </w:tbl>
    <w:p>
      <w:pPr>
        <w:rPr>
          <w:rFonts w:hint="default" w:eastAsia="宋体"/>
          <w:lang w:val="en-US" w:eastAsia="zh-CN"/>
        </w:rPr>
      </w:pPr>
    </w:p>
    <w:tbl>
      <w:tblPr>
        <w:tblStyle w:val="6"/>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354"/>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0" w:type="dxa"/>
            <w:noWrap w:val="0"/>
            <w:vAlign w:val="center"/>
          </w:tcPr>
          <w:p>
            <w:pPr>
              <w:jc w:val="center"/>
              <w:rPr>
                <w:rFonts w:eastAsia="黑体"/>
                <w:b/>
                <w:szCs w:val="21"/>
              </w:rPr>
            </w:pPr>
            <w:r>
              <w:rPr>
                <w:rFonts w:hAnsi="黑体" w:eastAsia="黑体"/>
                <w:b/>
                <w:szCs w:val="21"/>
              </w:rPr>
              <w:t>考试</w:t>
            </w:r>
          </w:p>
          <w:p>
            <w:pPr>
              <w:jc w:val="center"/>
              <w:rPr>
                <w:rFonts w:eastAsia="黑体"/>
                <w:b/>
                <w:szCs w:val="21"/>
              </w:rPr>
            </w:pPr>
            <w:r>
              <w:rPr>
                <w:rFonts w:hAnsi="黑体" w:eastAsia="黑体"/>
                <w:b/>
                <w:szCs w:val="21"/>
              </w:rPr>
              <w:t>类别</w:t>
            </w:r>
          </w:p>
        </w:tc>
        <w:tc>
          <w:tcPr>
            <w:tcW w:w="5354" w:type="dxa"/>
            <w:noWrap w:val="0"/>
            <w:vAlign w:val="center"/>
          </w:tcPr>
          <w:p>
            <w:pPr>
              <w:jc w:val="center"/>
              <w:rPr>
                <w:rFonts w:hint="eastAsia" w:eastAsia="黑体"/>
                <w:b/>
                <w:szCs w:val="21"/>
                <w:lang w:val="en-US" w:eastAsia="zh-CN"/>
              </w:rPr>
            </w:pPr>
            <w:r>
              <w:rPr>
                <w:rFonts w:hint="eastAsia" w:hAnsi="黑体" w:eastAsia="黑体"/>
                <w:b/>
                <w:szCs w:val="21"/>
                <w:lang w:val="en-US" w:eastAsia="zh-CN"/>
              </w:rPr>
              <w:t>所学</w:t>
            </w:r>
            <w:r>
              <w:rPr>
                <w:rFonts w:hAnsi="黑体" w:eastAsia="黑体"/>
                <w:b/>
                <w:szCs w:val="21"/>
              </w:rPr>
              <w:t>专业</w:t>
            </w:r>
            <w:r>
              <w:rPr>
                <w:rFonts w:hint="eastAsia" w:hAnsi="黑体" w:eastAsia="黑体"/>
                <w:b/>
                <w:szCs w:val="21"/>
                <w:lang w:eastAsia="zh-CN"/>
              </w:rPr>
              <w:t>、</w:t>
            </w:r>
            <w:r>
              <w:rPr>
                <w:rFonts w:hint="eastAsia" w:hAnsi="黑体" w:eastAsia="黑体"/>
                <w:b/>
                <w:szCs w:val="21"/>
                <w:lang w:val="en-US" w:eastAsia="zh-CN"/>
              </w:rPr>
              <w:t>职称、</w:t>
            </w:r>
            <w:r>
              <w:rPr>
                <w:rFonts w:hAnsi="黑体" w:eastAsia="黑体"/>
                <w:b/>
                <w:szCs w:val="21"/>
              </w:rPr>
              <w:t>学位或学历</w:t>
            </w:r>
          </w:p>
        </w:tc>
        <w:tc>
          <w:tcPr>
            <w:tcW w:w="4091" w:type="dxa"/>
            <w:noWrap w:val="0"/>
            <w:vAlign w:val="center"/>
          </w:tcPr>
          <w:p>
            <w:pPr>
              <w:jc w:val="center"/>
              <w:rPr>
                <w:rFonts w:eastAsia="黑体"/>
                <w:b/>
                <w:szCs w:val="21"/>
              </w:rPr>
            </w:pPr>
            <w:r>
              <w:rPr>
                <w:rFonts w:hAnsi="黑体" w:eastAsia="黑体"/>
                <w:b/>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restart"/>
            <w:shd w:val="clear" w:color="auto" w:fill="auto"/>
            <w:noWrap w:val="0"/>
            <w:vAlign w:val="top"/>
          </w:tcPr>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center"/>
              <w:rPr>
                <w:b/>
                <w:bCs/>
                <w:color w:val="000000"/>
                <w:kern w:val="0"/>
                <w:szCs w:val="21"/>
              </w:rPr>
            </w:pPr>
          </w:p>
          <w:p>
            <w:pPr>
              <w:widowControl/>
              <w:jc w:val="both"/>
              <w:rPr>
                <w:b/>
                <w:bCs/>
                <w:color w:val="000000"/>
                <w:kern w:val="0"/>
                <w:szCs w:val="21"/>
              </w:rPr>
            </w:pPr>
          </w:p>
          <w:p>
            <w:pPr>
              <w:jc w:val="center"/>
              <w:rPr>
                <w:rFonts w:hint="eastAsia" w:eastAsia="黑体"/>
                <w:b/>
                <w:szCs w:val="21"/>
              </w:rPr>
            </w:pPr>
          </w:p>
          <w:p>
            <w:pPr>
              <w:numPr>
                <w:ilvl w:val="0"/>
                <w:numId w:val="0"/>
              </w:numPr>
              <w:wordWrap w:val="0"/>
              <w:autoSpaceDE/>
              <w:autoSpaceDN/>
              <w:spacing w:before="0" w:after="160" w:line="240" w:lineRule="auto"/>
              <w:ind w:left="316" w:right="0" w:hanging="316"/>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咨</w:t>
            </w:r>
          </w:p>
          <w:p>
            <w:pPr>
              <w:numPr>
                <w:ilvl w:val="0"/>
                <w:numId w:val="0"/>
              </w:numPr>
              <w:wordWrap w:val="0"/>
              <w:autoSpaceDE/>
              <w:autoSpaceDN/>
              <w:spacing w:before="0" w:after="160" w:line="240" w:lineRule="auto"/>
              <w:ind w:left="316" w:right="0" w:hanging="316"/>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询</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工</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程</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师</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投</w:t>
            </w:r>
          </w:p>
          <w:p>
            <w:pPr>
              <w:numPr>
                <w:ilvl w:val="0"/>
                <w:numId w:val="0"/>
              </w:numPr>
              <w:wordWrap w:val="0"/>
              <w:autoSpaceDE/>
              <w:autoSpaceDN/>
              <w:spacing w:before="0" w:after="160" w:line="240" w:lineRule="auto"/>
              <w:ind w:right="0" w:firstLine="0"/>
              <w:jc w:val="center"/>
              <w:rPr>
                <w:rFonts w:hint="eastAsia" w:ascii="Calibri" w:hAnsi="黑体" w:eastAsia="黑体" w:cs="Times New Roman"/>
                <w:b/>
                <w:color w:val="000000"/>
                <w:position w:val="0"/>
                <w:sz w:val="21"/>
                <w:szCs w:val="21"/>
                <w:lang w:val="en-US" w:eastAsia="zh-CN"/>
              </w:rPr>
            </w:pPr>
            <w:r>
              <w:rPr>
                <w:rFonts w:hint="eastAsia" w:ascii="Calibri" w:hAnsi="黑体" w:eastAsia="黑体" w:cs="Times New Roman"/>
                <w:b/>
                <w:color w:val="000000"/>
                <w:position w:val="0"/>
                <w:sz w:val="21"/>
                <w:szCs w:val="21"/>
                <w:lang w:val="en-US" w:eastAsia="zh-CN"/>
              </w:rPr>
              <w:t>资</w:t>
            </w:r>
          </w:p>
          <w:p>
            <w:pPr>
              <w:numPr>
                <w:ilvl w:val="0"/>
                <w:numId w:val="0"/>
              </w:numPr>
              <w:wordWrap w:val="0"/>
              <w:autoSpaceDE/>
              <w:autoSpaceDN/>
              <w:spacing w:before="0" w:after="160" w:line="240" w:lineRule="auto"/>
              <w:ind w:right="0" w:firstLine="0"/>
              <w:jc w:val="center"/>
              <w:rPr>
                <w:rFonts w:hint="default" w:ascii="Calibri" w:hAnsi="黑体" w:eastAsia="黑体" w:cs="Times New Roman"/>
                <w:b/>
                <w:color w:val="000000"/>
                <w:position w:val="0"/>
                <w:sz w:val="21"/>
                <w:szCs w:val="21"/>
                <w:lang w:val="en-US" w:eastAsia="zh-CN"/>
              </w:rPr>
            </w:pPr>
            <w:r>
              <w:rPr>
                <w:rFonts w:hint="eastAsia" w:ascii="微软雅黑" w:hAnsi="微软雅黑" w:eastAsia="微软雅黑" w:cs="微软雅黑"/>
                <w:b/>
                <w:color w:val="000000"/>
                <w:position w:val="0"/>
                <w:sz w:val="21"/>
                <w:szCs w:val="21"/>
                <w:lang w:val="en-US" w:eastAsia="zh-CN"/>
              </w:rPr>
              <w:t>︶</w:t>
            </w:r>
          </w:p>
          <w:p>
            <w:pPr>
              <w:numPr>
                <w:ilvl w:val="0"/>
                <w:numId w:val="0"/>
              </w:numPr>
              <w:wordWrap w:val="0"/>
              <w:autoSpaceDE/>
              <w:autoSpaceDN/>
              <w:spacing w:before="0" w:after="160" w:line="240" w:lineRule="auto"/>
              <w:ind w:right="0" w:firstLine="0"/>
              <w:jc w:val="center"/>
              <w:rPr>
                <w:rFonts w:hint="default" w:ascii="微软雅黑" w:hAnsi="微软雅黑" w:eastAsia="微软雅黑" w:cs="微软雅黑"/>
                <w:b/>
                <w:color w:val="000000"/>
                <w:position w:val="0"/>
                <w:sz w:val="21"/>
                <w:szCs w:val="21"/>
                <w:lang w:val="en-US" w:eastAsia="zh-CN"/>
              </w:rPr>
            </w:pPr>
          </w:p>
        </w:tc>
        <w:tc>
          <w:tcPr>
            <w:tcW w:w="5354" w:type="dxa"/>
            <w:noWrap w:val="0"/>
            <w:vAlign w:val="center"/>
          </w:tcPr>
          <w:p>
            <w:pPr>
              <w:widowControl/>
              <w:rPr>
                <w:color w:val="000000"/>
                <w:kern w:val="0"/>
                <w:szCs w:val="21"/>
              </w:rPr>
            </w:pPr>
            <w:r>
              <w:rPr>
                <w:rFonts w:hint="eastAsia"/>
                <w:color w:val="000000"/>
                <w:szCs w:val="21"/>
              </w:rPr>
              <w:t>取得工学学科门类专业，或者经济学类、管理科学与工程类专业大学专科学历</w:t>
            </w:r>
          </w:p>
        </w:tc>
        <w:tc>
          <w:tcPr>
            <w:tcW w:w="4091" w:type="dxa"/>
            <w:noWrap w:val="0"/>
            <w:vAlign w:val="center"/>
          </w:tcPr>
          <w:p>
            <w:pPr>
              <w:widowControl/>
              <w:rPr>
                <w:color w:val="000000"/>
                <w:kern w:val="0"/>
                <w:szCs w:val="21"/>
              </w:rPr>
            </w:pPr>
            <w:r>
              <w:rPr>
                <w:rFonts w:hint="eastAsia"/>
                <w:color w:val="000000"/>
                <w:kern w:val="0"/>
                <w:szCs w:val="21"/>
              </w:rPr>
              <w:t>从事工程咨询业务满8年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color w:val="000000"/>
                <w:kern w:val="0"/>
                <w:szCs w:val="21"/>
              </w:rPr>
            </w:pPr>
            <w:r>
              <w:rPr>
                <w:rFonts w:hint="eastAsia"/>
                <w:color w:val="000000"/>
                <w:kern w:val="0"/>
                <w:szCs w:val="21"/>
              </w:rPr>
              <w:t>取得工学学科门类专业，或者经济学类、管理科学与工程类专业大学本科学历或者学位</w:t>
            </w:r>
          </w:p>
        </w:tc>
        <w:tc>
          <w:tcPr>
            <w:tcW w:w="4091" w:type="dxa"/>
            <w:noWrap w:val="0"/>
            <w:vAlign w:val="center"/>
          </w:tcPr>
          <w:p>
            <w:pPr>
              <w:widowControl/>
              <w:rPr>
                <w:color w:val="000000"/>
                <w:kern w:val="0"/>
                <w:szCs w:val="21"/>
              </w:rPr>
            </w:pPr>
            <w:r>
              <w:rPr>
                <w:rFonts w:hint="eastAsia"/>
                <w:color w:val="000000"/>
                <w:kern w:val="0"/>
                <w:szCs w:val="21"/>
              </w:rPr>
              <w:t>从事工程咨询业务满</w:t>
            </w:r>
            <w:r>
              <w:rPr>
                <w:rFonts w:hint="eastAsia"/>
                <w:color w:val="000000"/>
                <w:kern w:val="0"/>
                <w:szCs w:val="21"/>
                <w:lang w:val="en-US" w:eastAsia="zh-CN"/>
              </w:rPr>
              <w:t>6</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default" w:eastAsia="宋体"/>
                <w:color w:val="000000"/>
                <w:kern w:val="0"/>
                <w:szCs w:val="21"/>
                <w:lang w:val="en-US" w:eastAsia="zh-CN"/>
              </w:rPr>
            </w:pPr>
            <w:r>
              <w:rPr>
                <w:rFonts w:hint="eastAsia"/>
                <w:color w:val="000000"/>
                <w:szCs w:val="21"/>
              </w:rPr>
              <w:t>取得含工学学科门类专业，或者经济学类、管理科学与工程类专业在内的双学士学位，或者工学学科门类专业研究生班毕业</w:t>
            </w:r>
          </w:p>
        </w:tc>
        <w:tc>
          <w:tcPr>
            <w:tcW w:w="4091" w:type="dxa"/>
            <w:noWrap w:val="0"/>
            <w:vAlign w:val="center"/>
          </w:tcPr>
          <w:p>
            <w:pPr>
              <w:widowControl/>
              <w:rPr>
                <w:color w:val="000000"/>
                <w:kern w:val="0"/>
                <w:szCs w:val="21"/>
              </w:rPr>
            </w:pPr>
            <w:r>
              <w:rPr>
                <w:rFonts w:hint="eastAsia"/>
                <w:color w:val="000000"/>
                <w:kern w:val="0"/>
                <w:szCs w:val="21"/>
              </w:rPr>
              <w:t>从事工程咨询业务满</w:t>
            </w:r>
            <w:r>
              <w:rPr>
                <w:rFonts w:hint="eastAsia"/>
                <w:color w:val="000000"/>
                <w:kern w:val="0"/>
                <w:szCs w:val="21"/>
                <w:lang w:val="en-US" w:eastAsia="zh-CN"/>
              </w:rPr>
              <w:t>4</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rFonts w:hint="eastAsia" w:eastAsia="宋体"/>
                <w:b w:val="0"/>
                <w:bCs w:val="0"/>
                <w:color w:val="000000"/>
                <w:kern w:val="0"/>
                <w:szCs w:val="21"/>
                <w:lang w:val="en-US" w:eastAsia="zh-CN"/>
              </w:rPr>
            </w:pPr>
            <w:r>
              <w:rPr>
                <w:rFonts w:hint="eastAsia"/>
                <w:color w:val="000000"/>
                <w:kern w:val="0"/>
                <w:szCs w:val="21"/>
              </w:rPr>
              <w:t>取得工学学科门类专业，或者经济学类、管理科学与工程类专业硕士学位</w:t>
            </w:r>
          </w:p>
        </w:tc>
        <w:tc>
          <w:tcPr>
            <w:tcW w:w="4091" w:type="dxa"/>
            <w:noWrap w:val="0"/>
            <w:vAlign w:val="center"/>
          </w:tcPr>
          <w:p>
            <w:pPr>
              <w:widowControl/>
              <w:rPr>
                <w:b/>
                <w:bCs/>
                <w:color w:val="000000"/>
                <w:kern w:val="0"/>
                <w:szCs w:val="21"/>
              </w:rPr>
            </w:pPr>
            <w:r>
              <w:rPr>
                <w:rFonts w:hint="eastAsia"/>
                <w:color w:val="000000"/>
                <w:kern w:val="0"/>
                <w:szCs w:val="21"/>
              </w:rPr>
              <w:t>从事工程咨询业务满</w:t>
            </w:r>
            <w:r>
              <w:rPr>
                <w:rFonts w:hint="eastAsia"/>
                <w:color w:val="000000"/>
                <w:kern w:val="0"/>
                <w:szCs w:val="21"/>
                <w:lang w:val="en-US" w:eastAsia="zh-CN"/>
              </w:rPr>
              <w:t>3</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 w:type="dxa"/>
            <w:vMerge w:val="continue"/>
            <w:shd w:val="clear" w:color="auto" w:fill="auto"/>
            <w:noWrap w:val="0"/>
            <w:vAlign w:val="top"/>
          </w:tcPr>
          <w:p>
            <w:pPr>
              <w:rPr>
                <w:b/>
                <w:szCs w:val="21"/>
              </w:rPr>
            </w:pPr>
          </w:p>
        </w:tc>
        <w:tc>
          <w:tcPr>
            <w:tcW w:w="5354" w:type="dxa"/>
            <w:noWrap w:val="0"/>
            <w:vAlign w:val="center"/>
          </w:tcPr>
          <w:p>
            <w:pPr>
              <w:widowControl/>
              <w:rPr>
                <w:b/>
                <w:bCs/>
                <w:color w:val="000000"/>
                <w:kern w:val="0"/>
                <w:szCs w:val="21"/>
              </w:rPr>
            </w:pPr>
            <w:r>
              <w:rPr>
                <w:rFonts w:hint="eastAsia"/>
                <w:b w:val="0"/>
                <w:bCs w:val="0"/>
                <w:color w:val="000000"/>
                <w:kern w:val="0"/>
                <w:szCs w:val="21"/>
              </w:rPr>
              <w:t>取得工学学科门类专业，或者经济学类、管理科学与工程类专业博士学位</w:t>
            </w:r>
          </w:p>
        </w:tc>
        <w:tc>
          <w:tcPr>
            <w:tcW w:w="4091" w:type="dxa"/>
            <w:noWrap w:val="0"/>
            <w:vAlign w:val="center"/>
          </w:tcPr>
          <w:p>
            <w:pPr>
              <w:widowControl/>
              <w:rPr>
                <w:b/>
                <w:bCs/>
                <w:color w:val="000000"/>
                <w:kern w:val="0"/>
                <w:szCs w:val="21"/>
              </w:rPr>
            </w:pPr>
            <w:r>
              <w:rPr>
                <w:rFonts w:hint="eastAsia"/>
                <w:color w:val="000000"/>
                <w:kern w:val="0"/>
                <w:szCs w:val="21"/>
              </w:rPr>
              <w:t>从事工程咨询业务满</w:t>
            </w:r>
            <w:r>
              <w:rPr>
                <w:rFonts w:hint="eastAsia"/>
                <w:color w:val="000000"/>
                <w:kern w:val="0"/>
                <w:szCs w:val="21"/>
                <w:lang w:val="en-US" w:eastAsia="zh-CN"/>
              </w:rPr>
              <w:t>1</w:t>
            </w:r>
            <w:r>
              <w:rPr>
                <w:rFonts w:hint="eastAsia"/>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0" w:type="dxa"/>
            <w:vMerge w:val="continue"/>
            <w:shd w:val="clear" w:color="auto" w:fill="auto"/>
            <w:noWrap w:val="0"/>
            <w:vAlign w:val="top"/>
          </w:tcPr>
          <w:p>
            <w:pPr>
              <w:rPr>
                <w:b/>
                <w:szCs w:val="21"/>
              </w:rPr>
            </w:pPr>
          </w:p>
        </w:tc>
        <w:tc>
          <w:tcPr>
            <w:tcW w:w="9445" w:type="dxa"/>
            <w:gridSpan w:val="2"/>
            <w:noWrap w:val="0"/>
            <w:vAlign w:val="center"/>
          </w:tcPr>
          <w:p>
            <w:pPr>
              <w:widowControl/>
              <w:rPr>
                <w:szCs w:val="21"/>
              </w:rPr>
            </w:pPr>
            <w:r>
              <w:rPr>
                <w:rFonts w:hint="eastAsia"/>
                <w:szCs w:val="21"/>
              </w:rPr>
              <w:t>取得经济学、管理学学科门类其他专业，或者其他学科门类各专业的上述学历或者学位人员，累计从事工程咨询业务年限相应增加2年。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6" w:hRule="exact"/>
          <w:jc w:val="center"/>
        </w:trPr>
        <w:tc>
          <w:tcPr>
            <w:tcW w:w="920" w:type="dxa"/>
            <w:vMerge w:val="continue"/>
            <w:shd w:val="clear" w:color="auto" w:fill="auto"/>
            <w:noWrap w:val="0"/>
            <w:vAlign w:val="top"/>
          </w:tcPr>
          <w:p>
            <w:pPr>
              <w:rPr>
                <w:b/>
                <w:szCs w:val="21"/>
              </w:rPr>
            </w:pPr>
          </w:p>
        </w:tc>
        <w:tc>
          <w:tcPr>
            <w:tcW w:w="9445" w:type="dxa"/>
            <w:gridSpan w:val="2"/>
            <w:noWrap w:val="0"/>
            <w:vAlign w:val="center"/>
          </w:tcPr>
          <w:p>
            <w:pPr>
              <w:numPr>
                <w:ilvl w:val="0"/>
                <w:numId w:val="0"/>
              </w:numPr>
              <w:ind w:firstLine="420" w:firstLineChars="200"/>
              <w:rPr>
                <w:rFonts w:hint="eastAsia"/>
                <w:szCs w:val="21"/>
                <w:lang w:val="en-US" w:eastAsia="zh-CN"/>
              </w:rPr>
            </w:pPr>
            <w:r>
              <w:rPr>
                <w:rFonts w:hint="eastAsia"/>
                <w:szCs w:val="21"/>
                <w:lang w:val="en-US" w:eastAsia="zh-CN"/>
              </w:rPr>
              <w:t>1、参加4个科目考试（级别为考全科）的人员必须在连续4个考试年度通过应试科目。</w:t>
            </w:r>
          </w:p>
          <w:p>
            <w:pPr>
              <w:numPr>
                <w:ilvl w:val="0"/>
                <w:numId w:val="0"/>
              </w:numPr>
              <w:ind w:firstLine="420" w:firstLineChars="200"/>
              <w:rPr>
                <w:rFonts w:hint="eastAsia"/>
                <w:szCs w:val="21"/>
                <w:lang w:val="en-US" w:eastAsia="zh-CN"/>
              </w:rPr>
            </w:pPr>
            <w:r>
              <w:rPr>
                <w:rFonts w:hint="eastAsia"/>
                <w:szCs w:val="21"/>
                <w:lang w:val="en-US" w:eastAsia="zh-CN"/>
              </w:rPr>
              <w:t>2、凡符合考全科报考条件并具备下列条件之一者，可免试《宏观经济政策与发展规划》、《工程项目组织与管理》科目，只参加《项目决策分析与评价》和《现代咨询方法与实务》2个科目的考试。参加2个科目考试的人员，须在连续2个考试年度内通过应试科目的考试:</w:t>
            </w:r>
          </w:p>
          <w:p>
            <w:pPr>
              <w:numPr>
                <w:ilvl w:val="0"/>
                <w:numId w:val="0"/>
              </w:numPr>
              <w:ind w:firstLine="420" w:firstLineChars="200"/>
              <w:rPr>
                <w:rFonts w:hint="eastAsia"/>
                <w:szCs w:val="21"/>
                <w:lang w:val="en-US" w:eastAsia="zh-CN"/>
              </w:rPr>
            </w:pPr>
            <w:r>
              <w:rPr>
                <w:rFonts w:hint="eastAsia"/>
                <w:szCs w:val="21"/>
                <w:lang w:val="en-US" w:eastAsia="zh-CN"/>
              </w:rPr>
              <w:t>(1)获得全国优秀工程咨询成果奖项目或者全国优秀工程勘察设计奖项目的主要完成人；</w:t>
            </w:r>
          </w:p>
          <w:p>
            <w:pPr>
              <w:numPr>
                <w:ilvl w:val="0"/>
                <w:numId w:val="0"/>
              </w:numPr>
              <w:ind w:firstLine="420" w:firstLineChars="200"/>
              <w:rPr>
                <w:rFonts w:hint="eastAsia"/>
                <w:szCs w:val="21"/>
                <w:lang w:val="en-US" w:eastAsia="zh-CN"/>
              </w:rPr>
            </w:pPr>
            <w:r>
              <w:rPr>
                <w:rFonts w:hint="eastAsia"/>
                <w:szCs w:val="21"/>
                <w:lang w:val="en-US" w:eastAsia="zh-CN"/>
              </w:rPr>
              <w:t>(2)通过全国统一考试取得工程技术类职业资格证书，并从事工程咨询业务工作满8年。</w:t>
            </w:r>
          </w:p>
          <w:p>
            <w:pPr>
              <w:numPr>
                <w:ilvl w:val="0"/>
                <w:numId w:val="0"/>
              </w:numPr>
              <w:ind w:firstLine="420" w:firstLineChars="200"/>
              <w:rPr>
                <w:rFonts w:hint="default"/>
                <w:szCs w:val="21"/>
                <w:lang w:val="en-US" w:eastAsia="zh-CN"/>
              </w:rPr>
            </w:pPr>
            <w:r>
              <w:rPr>
                <w:rFonts w:hint="eastAsia"/>
                <w:szCs w:val="21"/>
                <w:lang w:val="en-US" w:eastAsia="zh-CN"/>
              </w:rPr>
              <w:t>3、“从业年限”是指报考人员自参加工作之日起累计从事工程咨询相关业务时间的总和，截止考试当年度的12月31日。</w:t>
            </w:r>
          </w:p>
          <w:p>
            <w:pPr>
              <w:numPr>
                <w:ilvl w:val="0"/>
                <w:numId w:val="0"/>
              </w:numPr>
              <w:ind w:firstLine="420" w:firstLineChars="200"/>
              <w:rPr>
                <w:rFonts w:hint="default"/>
                <w:szCs w:val="21"/>
                <w:lang w:val="en-US" w:eastAsia="zh-CN"/>
              </w:rPr>
            </w:pPr>
            <w:r>
              <w:rPr>
                <w:rFonts w:hint="eastAsia"/>
                <w:szCs w:val="21"/>
                <w:lang w:val="en-US" w:eastAsia="zh-CN"/>
              </w:rPr>
              <w:t>4、报考条件中所要求的学历和学位，是指国家承认的国民教育系列学历和学位，包括参加普通高等教育、成人高等教育、电大开放教育、网络远程教育、高等教育自学考试所取得的学历、学位。本人应完成学业并获得相关学历、学位证书（肄业证书、结业证书除外）。</w:t>
            </w:r>
          </w:p>
          <w:p>
            <w:pPr>
              <w:numPr>
                <w:ilvl w:val="0"/>
                <w:numId w:val="0"/>
              </w:numPr>
              <w:ind w:firstLine="420" w:firstLineChars="200"/>
              <w:rPr>
                <w:rFonts w:hint="eastAsia"/>
                <w:szCs w:val="21"/>
                <w:lang w:val="en-US" w:eastAsia="zh-CN"/>
              </w:rPr>
            </w:pPr>
            <w:r>
              <w:rPr>
                <w:rFonts w:hint="eastAsia"/>
                <w:szCs w:val="21"/>
                <w:lang w:val="en-US" w:eastAsia="zh-CN"/>
              </w:rPr>
              <w:t>5、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 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根据国家发展改革委和住房城乡建设部《关于推进全过程工程咨询服务发展的指导意见》（发改投资规〔2019〕515号），投资咨询、招标代理、勘察、设计、监理、造价、项目管理等，均属于工程咨询业务。</w:t>
            </w:r>
          </w:p>
          <w:p>
            <w:pPr>
              <w:numPr>
                <w:ilvl w:val="0"/>
                <w:numId w:val="0"/>
              </w:numPr>
              <w:ind w:firstLine="420" w:firstLineChars="200"/>
              <w:rPr>
                <w:rFonts w:hint="eastAsia"/>
                <w:szCs w:val="21"/>
                <w:lang w:val="en-US" w:eastAsia="zh-CN"/>
              </w:rPr>
            </w:pPr>
            <w:r>
              <w:rPr>
                <w:rFonts w:hint="eastAsia"/>
                <w:szCs w:val="21"/>
                <w:lang w:val="en-US" w:eastAsia="zh-CN"/>
              </w:rPr>
              <w:t>6、实施办法中所称获奖项目的“主要完成人”，是指中国工程咨询协会组织评选的全国优秀工程咨询成果一、二、三等奖和优秀奖，以及住房城乡建设部组织评选的全国优秀勘察设计金、银、铜奖所附获奖证书或获奖名单中所列人员。</w:t>
            </w:r>
          </w:p>
          <w:p>
            <w:pPr>
              <w:numPr>
                <w:ilvl w:val="0"/>
                <w:numId w:val="0"/>
              </w:numPr>
              <w:ind w:firstLine="420" w:firstLineChars="200"/>
              <w:rPr>
                <w:rFonts w:hint="eastAsia"/>
                <w:szCs w:val="21"/>
                <w:lang w:val="en-US" w:eastAsia="zh-CN"/>
              </w:rPr>
            </w:pPr>
            <w:r>
              <w:rPr>
                <w:rFonts w:hint="eastAsia"/>
                <w:szCs w:val="21"/>
                <w:lang w:val="en-US" w:eastAsia="zh-CN"/>
              </w:rPr>
              <w:t>7、港澳台居民可以报名参加咨询工程师（投资）职业资格考试。港澳台居民持内地高等学校毕业证书的，可以直接填报相关信息；持香港、澳门、台湾地区或者国外高等学校学历、学位报考者，其学历、学位须经教育部留学服务中心认证。</w:t>
            </w: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p>
            <w:pPr>
              <w:numPr>
                <w:ilvl w:val="0"/>
                <w:numId w:val="0"/>
              </w:numPr>
              <w:ind w:firstLine="420" w:firstLineChars="200"/>
              <w:rPr>
                <w:rFonts w:hint="eastAsia"/>
                <w:szCs w:val="21"/>
                <w:lang w:eastAsia="zh-CN"/>
              </w:rPr>
            </w:pPr>
          </w:p>
        </w:tc>
      </w:tr>
    </w:tbl>
    <w:p>
      <w:pPr>
        <w:rPr>
          <w:rFonts w:hint="default" w:eastAsia="宋体"/>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7078D"/>
    <w:multiLevelType w:val="singleLevel"/>
    <w:tmpl w:val="FDA7078D"/>
    <w:lvl w:ilvl="0" w:tentative="0">
      <w:start w:val="1"/>
      <w:numFmt w:val="decimal"/>
      <w:suff w:val="nothing"/>
      <w:lvlText w:val="%1、"/>
      <w:lvlJc w:val="left"/>
    </w:lvl>
  </w:abstractNum>
  <w:abstractNum w:abstractNumId="1">
    <w:nsid w:val="15E66C33"/>
    <w:multiLevelType w:val="singleLevel"/>
    <w:tmpl w:val="15E66C33"/>
    <w:lvl w:ilvl="0" w:tentative="0">
      <w:start w:val="1"/>
      <w:numFmt w:val="decimal"/>
      <w:suff w:val="nothing"/>
      <w:lvlText w:val="%1、"/>
      <w:lvlJc w:val="left"/>
    </w:lvl>
  </w:abstractNum>
  <w:abstractNum w:abstractNumId="2">
    <w:nsid w:val="77E1AF57"/>
    <w:multiLevelType w:val="singleLevel"/>
    <w:tmpl w:val="77E1AF5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96E35"/>
    <w:rsid w:val="004C4FED"/>
    <w:rsid w:val="030B4D5E"/>
    <w:rsid w:val="04043F30"/>
    <w:rsid w:val="05CA39E6"/>
    <w:rsid w:val="05E77718"/>
    <w:rsid w:val="06260F34"/>
    <w:rsid w:val="06D35F3C"/>
    <w:rsid w:val="06EC0DAB"/>
    <w:rsid w:val="07915D75"/>
    <w:rsid w:val="08304C28"/>
    <w:rsid w:val="08B3321B"/>
    <w:rsid w:val="0C95383E"/>
    <w:rsid w:val="0E5A5F2F"/>
    <w:rsid w:val="110562D6"/>
    <w:rsid w:val="117E1DA2"/>
    <w:rsid w:val="11946CAE"/>
    <w:rsid w:val="160A42A2"/>
    <w:rsid w:val="172E0071"/>
    <w:rsid w:val="17F225C5"/>
    <w:rsid w:val="1C877988"/>
    <w:rsid w:val="1CE17A75"/>
    <w:rsid w:val="205C2EE9"/>
    <w:rsid w:val="20651935"/>
    <w:rsid w:val="208C7F0F"/>
    <w:rsid w:val="20D2770A"/>
    <w:rsid w:val="210301C1"/>
    <w:rsid w:val="21167FC9"/>
    <w:rsid w:val="21C95509"/>
    <w:rsid w:val="235B51D7"/>
    <w:rsid w:val="2425279B"/>
    <w:rsid w:val="24856B2E"/>
    <w:rsid w:val="256B0E8F"/>
    <w:rsid w:val="257F628E"/>
    <w:rsid w:val="27790F4C"/>
    <w:rsid w:val="291863DF"/>
    <w:rsid w:val="29B70B39"/>
    <w:rsid w:val="2B441308"/>
    <w:rsid w:val="2BA32778"/>
    <w:rsid w:val="2C2B188F"/>
    <w:rsid w:val="2E0A43DC"/>
    <w:rsid w:val="2EEF4E6E"/>
    <w:rsid w:val="2F1B7413"/>
    <w:rsid w:val="2F841910"/>
    <w:rsid w:val="300717C6"/>
    <w:rsid w:val="31CF411E"/>
    <w:rsid w:val="33170F2D"/>
    <w:rsid w:val="38011344"/>
    <w:rsid w:val="3AEB3A64"/>
    <w:rsid w:val="3AF85A14"/>
    <w:rsid w:val="3B2A40F8"/>
    <w:rsid w:val="3C745694"/>
    <w:rsid w:val="3E636849"/>
    <w:rsid w:val="438D0F5B"/>
    <w:rsid w:val="43961953"/>
    <w:rsid w:val="442F2B15"/>
    <w:rsid w:val="45970BB8"/>
    <w:rsid w:val="47591100"/>
    <w:rsid w:val="47D52A3D"/>
    <w:rsid w:val="48F35879"/>
    <w:rsid w:val="4AFB4FED"/>
    <w:rsid w:val="4B3C6892"/>
    <w:rsid w:val="4B5E0FF8"/>
    <w:rsid w:val="4E194004"/>
    <w:rsid w:val="4E5B7452"/>
    <w:rsid w:val="4E6F41B0"/>
    <w:rsid w:val="4F8A6C46"/>
    <w:rsid w:val="50885992"/>
    <w:rsid w:val="50F25DDA"/>
    <w:rsid w:val="51087B4D"/>
    <w:rsid w:val="5118387E"/>
    <w:rsid w:val="520457B8"/>
    <w:rsid w:val="5224361E"/>
    <w:rsid w:val="528B7ED3"/>
    <w:rsid w:val="52C36FDA"/>
    <w:rsid w:val="54033CF3"/>
    <w:rsid w:val="54EF1661"/>
    <w:rsid w:val="554B7939"/>
    <w:rsid w:val="561F1F3A"/>
    <w:rsid w:val="59356F26"/>
    <w:rsid w:val="59A22968"/>
    <w:rsid w:val="5A691B07"/>
    <w:rsid w:val="5AA618CD"/>
    <w:rsid w:val="5B0D5D8C"/>
    <w:rsid w:val="5B442106"/>
    <w:rsid w:val="5D0C70AA"/>
    <w:rsid w:val="5D984D89"/>
    <w:rsid w:val="5E01393D"/>
    <w:rsid w:val="60A57B46"/>
    <w:rsid w:val="65EA711F"/>
    <w:rsid w:val="6AD17E4D"/>
    <w:rsid w:val="6AEC34E2"/>
    <w:rsid w:val="71415343"/>
    <w:rsid w:val="71B96E35"/>
    <w:rsid w:val="72901C98"/>
    <w:rsid w:val="73C31CBE"/>
    <w:rsid w:val="741D3F3A"/>
    <w:rsid w:val="75584B0F"/>
    <w:rsid w:val="779A486F"/>
    <w:rsid w:val="78692425"/>
    <w:rsid w:val="78870FDA"/>
    <w:rsid w:val="7A5D4DF2"/>
    <w:rsid w:val="7A604A65"/>
    <w:rsid w:val="7E6A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2020-07-30T03:03:00Z</dcterms:created>
  <dc:creator>巧克力豆</dc:creator>
  <cp:lastModifiedBy>巧克力豆</cp:lastModifiedBy>
  <dcterms:modified xsi:type="dcterms:W3CDTF">2020-08-03T04:00:27Z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