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44"/>
          <w:szCs w:val="44"/>
        </w:rPr>
      </w:pPr>
      <w:bookmarkStart w:id="0" w:name="_GoBack"/>
      <w:bookmarkEnd w:id="0"/>
      <w:r>
        <w:rPr>
          <w:rFonts w:hint="eastAsia" w:ascii="宋体" w:hAnsi="宋体"/>
          <w:b/>
          <w:bCs/>
          <w:sz w:val="44"/>
          <w:szCs w:val="44"/>
        </w:rPr>
        <w:t>2020年度辽宁省会计专业技术</w:t>
      </w:r>
    </w:p>
    <w:p>
      <w:pPr>
        <w:jc w:val="center"/>
        <w:rPr>
          <w:rFonts w:ascii="宋体"/>
          <w:b/>
          <w:bCs/>
          <w:sz w:val="44"/>
          <w:szCs w:val="44"/>
        </w:rPr>
      </w:pPr>
      <w:r>
        <w:rPr>
          <w:rFonts w:hint="eastAsia" w:ascii="宋体" w:hAnsi="宋体"/>
          <w:b/>
          <w:bCs/>
          <w:sz w:val="44"/>
          <w:szCs w:val="44"/>
        </w:rPr>
        <w:t>资格无纸化考试工作方案</w:t>
      </w:r>
    </w:p>
    <w:p>
      <w:pPr>
        <w:spacing w:line="560" w:lineRule="exact"/>
        <w:rPr>
          <w:rFonts w:ascii="华文中宋" w:hAnsi="华文中宋"/>
          <w:sz w:val="36"/>
          <w:szCs w:val="36"/>
        </w:rPr>
      </w:pP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根据</w:t>
      </w:r>
      <w:r>
        <w:rPr>
          <w:rFonts w:hint="eastAsia" w:ascii="仿宋_GB2312" w:eastAsia="仿宋_GB2312"/>
          <w:kern w:val="0"/>
          <w:sz w:val="32"/>
          <w:szCs w:val="32"/>
        </w:rPr>
        <w:t>财政部会计资格评价中心</w:t>
      </w:r>
      <w:r>
        <w:rPr>
          <w:rFonts w:hint="eastAsia" w:ascii="仿宋_GB2312" w:eastAsia="仿宋_GB2312"/>
          <w:sz w:val="32"/>
          <w:szCs w:val="32"/>
        </w:rPr>
        <w:t>《关于印发&lt;2020年度全国会计专业技术资格无纸化考试工作方案&gt;的通知》（会评〔2020〕5号）精神，为确保考试工作顺利开展，</w:t>
      </w:r>
      <w:r>
        <w:rPr>
          <w:rFonts w:hint="eastAsia" w:ascii="仿宋_GB2312" w:hAnsi="宋体" w:eastAsia="仿宋_GB2312"/>
          <w:sz w:val="32"/>
          <w:szCs w:val="32"/>
        </w:rPr>
        <w:t>制定如下工作方案。</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一、无纸化考试组织及职责</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省会计专业技术资格考试领导小组办公室（以下简称“省考办”）负责全省2020年度无纸化考试的统一组织，各市会计专业技术资格考试管理机构（以下简称“市考办”）负责本地区无纸化考试的具体实施。</w:t>
      </w:r>
    </w:p>
    <w:p>
      <w:pPr>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kern w:val="0"/>
          <w:sz w:val="32"/>
          <w:szCs w:val="32"/>
        </w:rPr>
        <w:t>省考办工作职责。</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1.根据全国考办的统一规定和要求，制定全省无纸化考试工作方案及相关管理制度。</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2.</w:t>
      </w:r>
      <w:r>
        <w:rPr>
          <w:rFonts w:hint="eastAsia" w:ascii="仿宋_GB2312" w:eastAsia="仿宋_GB2312"/>
          <w:sz w:val="32"/>
          <w:szCs w:val="32"/>
        </w:rPr>
        <w:t>组织、调度、协调全省</w:t>
      </w:r>
      <w:r>
        <w:rPr>
          <w:rFonts w:hint="eastAsia" w:ascii="仿宋_GB2312" w:hAnsi="Arial" w:eastAsia="仿宋_GB2312"/>
          <w:kern w:val="0"/>
          <w:sz w:val="32"/>
          <w:szCs w:val="32"/>
        </w:rPr>
        <w:t>无纸化考试考务管理与监督。</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3.组织各市考办考务管理人员的相关培训。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4.指导各市考办防范和打击考试中的舞弊等违法违纪行为。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5.制定全省无纸化考试应急预案。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6.按照全国会计考办下发的评卷标准，完成中高级资格无纸化考试主观题的网上评卷工作。</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（二）市考办工作职责。</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1.负责本地区无纸化考试考务管理及组织工作。</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2.设置本地区无纸化考试考场（点），组织开展考试网络设置、考试机测试和技术维护工作，确保考试期间电源供给。加强考场（点）视频监控系统建设。</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3.组织本地区无纸化考试考务工作人员的相关培训。</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4.对本地区考生提供无纸化考试服务保障，</w:t>
      </w:r>
      <w:r>
        <w:rPr>
          <w:rFonts w:hint="eastAsia" w:ascii="仿宋_GB2312" w:hAnsi="宋体" w:eastAsia="仿宋_GB2312"/>
          <w:sz w:val="32"/>
          <w:szCs w:val="32"/>
        </w:rPr>
        <w:t>开展相关内容的宣传及答疑工作。</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5.组织防范和打击本地区考试舞弊等违法违纪行为。</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6.制定本地区无纸化考试应急预案。</w:t>
      </w:r>
    </w:p>
    <w:p>
      <w:pPr>
        <w:spacing w:line="560" w:lineRule="exact"/>
        <w:ind w:firstLine="640" w:firstLineChars="200"/>
        <w:rPr>
          <w:rFonts w:ascii="仿宋_GB2312" w:hAnsi="Arial" w:eastAsia="仿宋_GB2312"/>
          <w:kern w:val="0"/>
          <w:sz w:val="32"/>
          <w:szCs w:val="32"/>
        </w:rPr>
      </w:pPr>
      <w:r>
        <w:rPr>
          <w:rFonts w:hint="eastAsia" w:ascii="仿宋_GB2312" w:hAnsi="Arial" w:eastAsia="仿宋_GB2312"/>
          <w:kern w:val="0"/>
          <w:sz w:val="32"/>
          <w:szCs w:val="32"/>
        </w:rPr>
        <w:t>7.完成本地区考试数据核对检查工作并上报。</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二、无纸化考试技术要求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保证无纸化考试整体协调和数据安全，将采用全国统一的考试系统、技术标准和数据接口，实现报名管理、题库管理、无纸化考试、网上评卷、成绩管理等子系统无缝兼容，考试机与考场（点）服务器数据实时同步，答题信息及时加密备份。</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三、无纸化考试考场（点）设置要求</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（一）考试场地。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报名结束后，市考办应合理测算考场（点）及机位需求，充分利用现有资源和技术力量，在确保安全可控、方便考生的前提下，通过自建、共建、租用等方式安排考试机位。考点设置应相对集中。</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（二）考试设备及网络。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考场（点）设备配置及网络环境要求详见附件1。</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（三）电力保障。</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市考办应充分考虑考试期间可能造成电力中断的各种因素，积极协调有关部门，确保考试期间正常供电。同时，应制定相关应急预案。原则上应对风险较大的考点配备发电车。</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（四）人员配备。</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各考点应配备主考、技术负责人及相应的机房管理员。技术人员在数量和能力两方面均应达到无纸化考试相关要求。考场应按考生人数配备监考人员，考生人数在50人及以下的考场至少应配备2名监考人员，每增加25名考生应增加配备1至2名监考人员。考点应按照考试机数量配备技术保障人员，200台考试机以下的考点，至少配备1名技术保障人员；200台考试机以上的考点，每增加200台考试机至少增配1名技术保障人员。</w:t>
      </w:r>
    </w:p>
    <w:p>
      <w:pPr>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（五）防疫要求。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考点应合理设置考试机间隔，对考试场所逐一进行消毒，保证环境卫生和良好通风，并配备充足防疫物资。</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四、无纸化考试培训要求</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省考办负责组织市考办考试工作人员的培训，市考办负责组织本地区考试工作人员的培训。市考办应按照全省统一标准并结合本地实际情况，对考点机房人员、监考人员等进行有针对性的分类培训，确保培训到位。培训应突出模拟演练，使相关人员熟练掌握各类操作，具备处理异常问题和突发事件的能力。对工作人员开展新冠肺炎疫情防疫和考试安全培训，确保各项措施落实到位。</w:t>
      </w:r>
    </w:p>
    <w:p>
      <w:pPr>
        <w:spacing w:line="560" w:lineRule="exact"/>
        <w:rPr>
          <w:rFonts w:ascii="仿宋_GB2312" w:hAnsi="宋体" w:eastAsia="仿宋_GB2312"/>
          <w:sz w:val="32"/>
          <w:szCs w:val="32"/>
        </w:rPr>
      </w:pP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（一）培训市考办工作人员。</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80"/>
        <w:gridCol w:w="77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p>
        </w:tc>
        <w:tc>
          <w:tcPr>
            <w:tcW w:w="7720" w:type="dxa"/>
            <w:tcBorders>
              <w:top w:val="inset" w:color="auto" w:sz="6" w:space="0"/>
              <w:left w:val="single" w:color="auto" w:sz="2" w:space="0"/>
              <w:bottom w:val="inset" w:color="auto" w:sz="6" w:space="0"/>
              <w:right w:val="inset" w:color="ACA899"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考务培训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培训时间</w:t>
            </w:r>
          </w:p>
        </w:tc>
        <w:tc>
          <w:tcPr>
            <w:tcW w:w="7720"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考前1个月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主讲人</w:t>
            </w:r>
          </w:p>
        </w:tc>
        <w:tc>
          <w:tcPr>
            <w:tcW w:w="7720" w:type="dxa"/>
            <w:tcBorders>
              <w:top w:val="inset" w:color="auto" w:sz="6" w:space="0"/>
              <w:left w:val="single" w:color="auto" w:sz="2" w:space="0"/>
              <w:bottom w:val="inset" w:color="auto" w:sz="6" w:space="0"/>
              <w:right w:val="inset" w:color="ACA899"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省考办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培训对象</w:t>
            </w:r>
          </w:p>
        </w:tc>
        <w:tc>
          <w:tcPr>
            <w:tcW w:w="7720" w:type="dxa"/>
            <w:tcBorders>
              <w:top w:val="inset" w:color="auto" w:sz="6" w:space="0"/>
              <w:left w:val="single" w:color="auto" w:sz="2" w:space="0"/>
              <w:bottom w:val="inset" w:color="auto" w:sz="6" w:space="0"/>
              <w:right w:val="inset" w:color="ACA899"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各市考办工作人员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培训内容</w:t>
            </w:r>
          </w:p>
        </w:tc>
        <w:tc>
          <w:tcPr>
            <w:tcW w:w="7720" w:type="dxa"/>
            <w:tcBorders>
              <w:top w:val="inset" w:color="auto" w:sz="6" w:space="0"/>
              <w:left w:val="single" w:color="auto" w:sz="2" w:space="0"/>
              <w:bottom w:val="inset" w:color="auto" w:sz="6" w:space="0"/>
              <w:right w:val="inset" w:color="ACA899" w:sz="6" w:space="0"/>
            </w:tcBorders>
            <w:vAlign w:val="center"/>
          </w:tcPr>
          <w:p>
            <w:pPr>
              <w:widowControl/>
              <w:ind w:firstLine="240" w:firstLineChars="100"/>
              <w:rPr>
                <w:rFonts w:ascii="仿宋_GB2312" w:hAnsi="Arial" w:eastAsia="仿宋_GB2312"/>
                <w:kern w:val="0"/>
                <w:sz w:val="24"/>
              </w:rPr>
            </w:pPr>
            <w:r>
              <w:rPr>
                <w:rFonts w:hint="eastAsia" w:ascii="仿宋_GB2312" w:hAnsi="Arial" w:eastAsia="仿宋_GB2312"/>
                <w:kern w:val="0"/>
                <w:sz w:val="24"/>
              </w:rPr>
              <w:t>工作职责、考务流程、考务整体安排、</w:t>
            </w:r>
            <w:r>
              <w:rPr>
                <w:rFonts w:hint="eastAsia" w:ascii="仿宋_GB2312" w:hAnsi="宋体" w:eastAsia="仿宋_GB2312"/>
                <w:color w:val="000000"/>
                <w:kern w:val="0"/>
                <w:sz w:val="24"/>
              </w:rPr>
              <w:t>考场（点）设置要求</w:t>
            </w:r>
            <w:r>
              <w:rPr>
                <w:rFonts w:hint="eastAsia" w:ascii="仿宋_GB2312" w:hAnsi="Arial" w:eastAsia="仿宋_GB2312"/>
                <w:kern w:val="0"/>
                <w:sz w:val="24"/>
              </w:rPr>
              <w:t>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培训资料</w:t>
            </w:r>
          </w:p>
        </w:tc>
        <w:tc>
          <w:tcPr>
            <w:tcW w:w="7720"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电子资料、纸质资料等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培训方式</w:t>
            </w:r>
          </w:p>
        </w:tc>
        <w:tc>
          <w:tcPr>
            <w:tcW w:w="7720"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培训讲解及答疑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380"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楷体" w:eastAsia="仿宋_GB2312"/>
                <w:kern w:val="0"/>
                <w:sz w:val="24"/>
              </w:rPr>
            </w:pPr>
            <w:r>
              <w:rPr>
                <w:rFonts w:hint="eastAsia" w:ascii="仿宋_GB2312" w:hAnsi="楷体" w:eastAsia="仿宋_GB2312" w:cs="仿宋_GB2312"/>
                <w:kern w:val="0"/>
                <w:sz w:val="24"/>
              </w:rPr>
              <w:t xml:space="preserve"> 培训要求</w:t>
            </w:r>
          </w:p>
        </w:tc>
        <w:tc>
          <w:tcPr>
            <w:tcW w:w="7720" w:type="dxa"/>
            <w:tcBorders>
              <w:top w:val="inset" w:color="auto" w:sz="6" w:space="0"/>
              <w:left w:val="single" w:color="auto" w:sz="2" w:space="0"/>
              <w:bottom w:val="inset" w:color="auto" w:sz="6" w:space="0"/>
              <w:right w:val="inset" w:color="ACA899" w:sz="6" w:space="0"/>
            </w:tcBorders>
            <w:vAlign w:val="center"/>
          </w:tcPr>
          <w:p>
            <w:pPr>
              <w:widowControl/>
              <w:rPr>
                <w:rFonts w:ascii="仿宋_GB2312" w:hAnsi="楷体" w:eastAsia="仿宋_GB2312"/>
                <w:kern w:val="0"/>
                <w:sz w:val="24"/>
              </w:rPr>
            </w:pPr>
            <w:r>
              <w:rPr>
                <w:rFonts w:hint="eastAsia" w:ascii="仿宋_GB2312" w:hAnsi="楷体" w:eastAsia="仿宋_GB2312" w:cs="仿宋_GB2312"/>
                <w:kern w:val="0"/>
                <w:sz w:val="24"/>
              </w:rPr>
              <w:t xml:space="preserve">  了解考务整体安排，掌握考务流程并明确工作职责</w:t>
            </w:r>
          </w:p>
        </w:tc>
      </w:tr>
    </w:tbl>
    <w:p>
      <w:pPr>
        <w:widowControl/>
        <w:ind w:firstLine="645"/>
        <w:rPr>
          <w:rFonts w:ascii="楷体_GB2312" w:hAnsi="Arial" w:eastAsia="楷体_GB2312"/>
          <w:b/>
          <w:bCs/>
          <w:kern w:val="0"/>
          <w:sz w:val="32"/>
          <w:szCs w:val="32"/>
        </w:rPr>
      </w:pPr>
      <w:r>
        <w:rPr>
          <w:rFonts w:hint="eastAsia" w:ascii="楷体_GB2312" w:hAnsi="楷体_GB2312" w:eastAsia="楷体_GB2312" w:cs="楷体_GB2312"/>
          <w:b/>
          <w:bCs/>
          <w:sz w:val="32"/>
          <w:szCs w:val="32"/>
        </w:rPr>
        <w:t>（二）培训考场（点）工作人员。</w:t>
      </w: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06"/>
        <w:gridCol w:w="3844"/>
        <w:gridCol w:w="40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6"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p>
        </w:tc>
        <w:tc>
          <w:tcPr>
            <w:tcW w:w="3844"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考务培训</w:t>
            </w:r>
          </w:p>
        </w:tc>
        <w:tc>
          <w:tcPr>
            <w:tcW w:w="4032"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技术培训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6"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培训时间</w:t>
            </w:r>
          </w:p>
        </w:tc>
        <w:tc>
          <w:tcPr>
            <w:tcW w:w="7876" w:type="dxa"/>
            <w:gridSpan w:val="2"/>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考前半个月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6"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主讲人</w:t>
            </w:r>
          </w:p>
        </w:tc>
        <w:tc>
          <w:tcPr>
            <w:tcW w:w="3844"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各市考办</w:t>
            </w:r>
          </w:p>
        </w:tc>
        <w:tc>
          <w:tcPr>
            <w:tcW w:w="4032"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软件公司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6"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培训对象</w:t>
            </w:r>
          </w:p>
        </w:tc>
        <w:tc>
          <w:tcPr>
            <w:tcW w:w="3844"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考点所有工作人员，包括主考、考场（点）技术负责人、机房管理员、监考人员及相关工作人员</w:t>
            </w:r>
          </w:p>
        </w:tc>
        <w:tc>
          <w:tcPr>
            <w:tcW w:w="4032"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技术负责人、机房管理员、监考人员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6"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培训内容</w:t>
            </w:r>
          </w:p>
        </w:tc>
        <w:tc>
          <w:tcPr>
            <w:tcW w:w="3844"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工作职责、考务整体安排、考点考场的布置等</w:t>
            </w:r>
          </w:p>
        </w:tc>
        <w:tc>
          <w:tcPr>
            <w:tcW w:w="4032"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考试软件系统操作、异常情况处理办法和常见问题解答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6"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培训资料</w:t>
            </w:r>
          </w:p>
        </w:tc>
        <w:tc>
          <w:tcPr>
            <w:tcW w:w="3844"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电子资料、纸质资料</w:t>
            </w:r>
          </w:p>
        </w:tc>
        <w:tc>
          <w:tcPr>
            <w:tcW w:w="4032"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电子资料、纸质资料、视频资料、软件模拟练习系统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6"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培训方式</w:t>
            </w:r>
          </w:p>
        </w:tc>
        <w:tc>
          <w:tcPr>
            <w:tcW w:w="3844"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培训讲解及答疑</w:t>
            </w:r>
          </w:p>
        </w:tc>
        <w:tc>
          <w:tcPr>
            <w:tcW w:w="4032"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培训讲解、模拟操作及答疑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406" w:type="dxa"/>
            <w:tcBorders>
              <w:top w:val="inset" w:color="auto" w:sz="6" w:space="0"/>
              <w:left w:val="inset" w:color="auto" w:sz="6"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培训要求</w:t>
            </w:r>
          </w:p>
        </w:tc>
        <w:tc>
          <w:tcPr>
            <w:tcW w:w="3844"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了解考务整体安排，掌握考务流程并明确工作职责</w:t>
            </w:r>
          </w:p>
        </w:tc>
        <w:tc>
          <w:tcPr>
            <w:tcW w:w="4032"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掌握软件系统操作和异常情况处理办法</w:t>
            </w:r>
          </w:p>
        </w:tc>
      </w:tr>
    </w:tbl>
    <w:p>
      <w:pPr>
        <w:spacing w:line="560" w:lineRule="exact"/>
        <w:ind w:firstLine="640" w:firstLineChars="200"/>
        <w:rPr>
          <w:rFonts w:ascii="黑体" w:hAnsi="宋体" w:eastAsia="黑体"/>
          <w:sz w:val="32"/>
          <w:szCs w:val="32"/>
        </w:rPr>
      </w:pPr>
      <w:r>
        <w:rPr>
          <w:rFonts w:hint="eastAsia" w:ascii="黑体" w:hAnsi="宋体" w:eastAsia="黑体"/>
          <w:sz w:val="32"/>
          <w:szCs w:val="32"/>
        </w:rPr>
        <w:t>五、无纸化考试工作流程</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（一）考前测试。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前1个月，市考办应完成设备检查及环境测试，并检查考场（点）是否符合防疫要求；考场（点）完成考试软件安装，并组织每个考场（点）完成一次包括电子签到、接收试题、考生答题、考试数据回收的全过程联网模拟测试。</w:t>
      </w:r>
      <w:r>
        <w:rPr>
          <w:rFonts w:hint="eastAsia" w:ascii="仿宋_GB2312" w:hAnsi="Arial" w:eastAsia="仿宋_GB2312"/>
          <w:kern w:val="0"/>
          <w:sz w:val="32"/>
          <w:szCs w:val="32"/>
        </w:rPr>
        <w:t>市考办</w:t>
      </w:r>
      <w:r>
        <w:rPr>
          <w:rFonts w:hint="eastAsia" w:ascii="仿宋_GB2312" w:hAnsi="宋体" w:eastAsia="仿宋_GB2312"/>
          <w:sz w:val="32"/>
          <w:szCs w:val="32"/>
        </w:rPr>
        <w:t>要进行考场（点）内部的系统压力测试，切实了解机房网络环境。无法通过压力测试的，需要调整网络或者软、硬件设备，或更换考场（点）。</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（二）网上编排考场和核发准考证。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前半个月，省考办根据疫情防控要求和各市实际情况，通过网上编场子系统完成考点、考场的设定，并确定考生的考试批次、考点、考场和座位号。省考办和市考办在规定时间公开网上打印准考证链接，方便考生通过互联网打印准考证。</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（三）考前检查和封场。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1.考前1周，市考办与供电部门协调，确保各考点考试期间的正常供电，并组织检查本地区考前准备情况，包括考场配置、技术人员配备、供电及网络保障情况、落实防疫要求情况等。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2.考前1天，各考场（点）完成环境布置等工作。具体如下：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（1）考点入口处醒目张贴（悬挂）考试横幅、</w:t>
      </w:r>
      <w:r>
        <w:rPr>
          <w:rFonts w:hint="eastAsia" w:ascii="仿宋_GB2312" w:hAnsi="Arial" w:eastAsia="仿宋_GB2312"/>
          <w:kern w:val="0"/>
          <w:sz w:val="32"/>
          <w:szCs w:val="32"/>
        </w:rPr>
        <w:t>考场分布图、</w:t>
      </w:r>
      <w:r>
        <w:rPr>
          <w:rFonts w:hint="eastAsia" w:ascii="仿宋_GB2312" w:eastAsia="仿宋_GB2312"/>
          <w:sz w:val="32"/>
          <w:szCs w:val="32"/>
        </w:rPr>
        <w:t>考试时间表、考场规则、违纪违规处理规定中与考生违纪有关内容等</w:t>
      </w:r>
      <w:r>
        <w:rPr>
          <w:rFonts w:hint="eastAsia" w:ascii="仿宋_GB2312" w:hAnsi="Arial" w:eastAsia="仿宋_GB2312"/>
          <w:kern w:val="0"/>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（2）考点入口至考场路途中设置明显的路标指示。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（3）考场门口张贴门贴，</w:t>
      </w:r>
      <w:r>
        <w:rPr>
          <w:rFonts w:hint="eastAsia" w:ascii="仿宋_GB2312" w:hAnsi="Arial" w:eastAsia="仿宋_GB2312"/>
          <w:kern w:val="0"/>
          <w:sz w:val="32"/>
          <w:szCs w:val="32"/>
        </w:rPr>
        <w:t>包括考点名称、考场名称（考场号）、</w:t>
      </w:r>
      <w:r>
        <w:rPr>
          <w:rFonts w:hint="eastAsia" w:ascii="仿宋_GB2312" w:hAnsi="Arial" w:eastAsia="仿宋_GB2312"/>
          <w:color w:val="000000"/>
          <w:sz w:val="32"/>
          <w:szCs w:val="32"/>
        </w:rPr>
        <w:t>应</w:t>
      </w:r>
      <w:r>
        <w:rPr>
          <w:rFonts w:hint="eastAsia" w:ascii="仿宋_GB2312" w:hAnsi="Arial" w:eastAsia="仿宋_GB2312"/>
          <w:sz w:val="32"/>
          <w:szCs w:val="32"/>
        </w:rPr>
        <w:t>急疏散通道</w:t>
      </w:r>
      <w:r>
        <w:rPr>
          <w:rFonts w:hint="eastAsia" w:ascii="仿宋_GB2312" w:eastAsia="仿宋_GB2312"/>
          <w:sz w:val="32"/>
          <w:szCs w:val="32"/>
        </w:rPr>
        <w:t>示意图或安全出口路标指示</w:t>
      </w:r>
      <w:r>
        <w:rPr>
          <w:rFonts w:hint="eastAsia" w:ascii="仿宋_GB2312" w:hAnsi="Arial" w:eastAsia="仿宋_GB2312"/>
          <w:kern w:val="0"/>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（4）考场内设置物品指定存放处，并张贴标志。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（5）考试机上张贴（显示）座位号。</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（6）对考试场所逐一进行消毒，保证环境卫生和良好通风。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3.考点根据考场分布情况，设置候考区域，安排相关人员组织考生候考，维持考场秩序。</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4.完成考试软件系统安装和调试，使用考试系统完成至少一次模拟测试和环境检查，重点关注服务器、考试机、网络环境等，确保系统运行正常。</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5.做好监控系统设置和调试工作，确保监控设备能够正常接入各级视频监控指挥中心。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6.至少进行一次备用电源切换和USB断电测试，确保电力保障正常。</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上述各项工作完成后,考点主监考和技术负责人确认无误后签字（盖章）封场。</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（四）试卷接收。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考点通过无纸化考试系统接收并导入考试信息。</w:t>
      </w: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（五）考试实施。</w:t>
      </w:r>
    </w:p>
    <w:p>
      <w:pPr>
        <w:pStyle w:val="6"/>
        <w:spacing w:line="560" w:lineRule="exact"/>
        <w:ind w:firstLine="640"/>
        <w:rPr>
          <w:rFonts w:ascii="仿宋_GB2312" w:hAnsi="宋体" w:eastAsia="仿宋_GB2312" w:cs="Times New Roman"/>
          <w:sz w:val="32"/>
          <w:szCs w:val="32"/>
        </w:rPr>
      </w:pPr>
      <w:r>
        <w:rPr>
          <w:rFonts w:hint="eastAsia" w:ascii="仿宋_GB2312" w:hAnsi="宋体" w:eastAsia="仿宋_GB2312"/>
          <w:sz w:val="32"/>
          <w:szCs w:val="32"/>
        </w:rPr>
        <w:t>各考场（点）检查考生辽事通健康码后，组织考生进行体温检测及电子签到后入场，考生登录无纸化考试系统进行答题。其中初级资格考试科目将在考生登录答题系统时随机抽取，考生在提前交卷或用完该科目的规定作答时间后，系统将进入下一科目答题界面，不能再返回上一科目的作答界面，即两个考试科目的考试时间不能相互借用。中级资格考试</w:t>
      </w:r>
      <w:r>
        <w:rPr>
          <w:rFonts w:hint="eastAsia" w:ascii="仿宋_GB2312" w:eastAsia="仿宋_GB2312"/>
          <w:sz w:val="32"/>
          <w:szCs w:val="32"/>
        </w:rPr>
        <w:t>科目按《中级会计实务》《财务管理》《经济法》的顺序进行。高级资格考试的考试科目为《高级会计实务》。</w:t>
      </w:r>
      <w:r>
        <w:rPr>
          <w:rFonts w:hint="eastAsia" w:ascii="仿宋_GB2312" w:hAnsi="宋体" w:eastAsia="仿宋_GB2312"/>
          <w:sz w:val="32"/>
          <w:szCs w:val="32"/>
        </w:rPr>
        <w:t>具体操作如下：</w:t>
      </w:r>
    </w:p>
    <w:p>
      <w:pPr>
        <w:pStyle w:val="6"/>
        <w:spacing w:line="560" w:lineRule="exact"/>
        <w:ind w:firstLine="640"/>
        <w:rPr>
          <w:rFonts w:ascii="仿宋_GB2312" w:hAnsi="宋体" w:eastAsia="仿宋_GB2312" w:cs="Times New Roman"/>
          <w:sz w:val="32"/>
          <w:szCs w:val="32"/>
        </w:rPr>
      </w:pPr>
    </w:p>
    <w:tbl>
      <w:tblPr>
        <w:tblStyle w:val="3"/>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12"/>
        <w:gridCol w:w="919"/>
        <w:gridCol w:w="71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tcBorders>
              <w:top w:val="inset" w:color="auto" w:sz="6" w:space="0"/>
              <w:left w:val="inset" w:color="auto" w:sz="6"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时间</w:t>
            </w:r>
          </w:p>
        </w:tc>
        <w:tc>
          <w:tcPr>
            <w:tcW w:w="91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序号</w:t>
            </w:r>
          </w:p>
        </w:tc>
        <w:tc>
          <w:tcPr>
            <w:tcW w:w="716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考试操作规程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restart"/>
            <w:tcBorders>
              <w:top w:val="single" w:color="auto" w:sz="2" w:space="0"/>
              <w:left w:val="inset" w:color="auto" w:sz="6"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考前90  分钟</w:t>
            </w: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w:t>
            </w:r>
          </w:p>
        </w:tc>
        <w:tc>
          <w:tcPr>
            <w:tcW w:w="7169" w:type="dxa"/>
            <w:tcBorders>
              <w:top w:val="inset" w:color="auto" w:sz="6" w:space="0"/>
              <w:left w:val="single" w:color="auto" w:sz="2" w:space="0"/>
              <w:bottom w:val="inset" w:color="auto" w:sz="6" w:space="0"/>
              <w:right w:val="inset" w:color="auto" w:sz="6" w:space="0"/>
            </w:tcBorders>
            <w:vAlign w:val="center"/>
          </w:tcPr>
          <w:p>
            <w:pPr>
              <w:widowControl/>
              <w:ind w:left="239" w:leftChars="114"/>
              <w:rPr>
                <w:rFonts w:ascii="仿宋_GB2312" w:hAnsi="Arial" w:eastAsia="仿宋_GB2312"/>
                <w:kern w:val="0"/>
                <w:sz w:val="24"/>
              </w:rPr>
            </w:pPr>
            <w:r>
              <w:rPr>
                <w:rFonts w:hint="eastAsia" w:ascii="仿宋_GB2312" w:hAnsi="Arial" w:eastAsia="仿宋_GB2312"/>
                <w:kern w:val="0"/>
                <w:sz w:val="24"/>
              </w:rPr>
              <w:t>主监考、机房管理员及其他相关人员到达考试现场，明确各自职责，并按要求佩戴工作证件。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2</w:t>
            </w:r>
          </w:p>
        </w:tc>
        <w:tc>
          <w:tcPr>
            <w:tcW w:w="7169" w:type="dxa"/>
            <w:tcBorders>
              <w:top w:val="inset" w:color="auto" w:sz="6" w:space="0"/>
              <w:left w:val="single" w:color="auto" w:sz="2" w:space="0"/>
              <w:bottom w:val="inset" w:color="auto" w:sz="6" w:space="0"/>
              <w:right w:val="inset" w:color="auto" w:sz="6" w:space="0"/>
            </w:tcBorders>
            <w:vAlign w:val="center"/>
          </w:tcPr>
          <w:p>
            <w:pPr>
              <w:widowControl/>
              <w:ind w:left="239" w:leftChars="114"/>
              <w:rPr>
                <w:rFonts w:ascii="仿宋_GB2312" w:hAnsi="Arial" w:eastAsia="仿宋_GB2312"/>
                <w:kern w:val="0"/>
                <w:sz w:val="24"/>
              </w:rPr>
            </w:pPr>
            <w:r>
              <w:rPr>
                <w:rFonts w:hint="eastAsia" w:ascii="仿宋_GB2312" w:hAnsi="Arial" w:eastAsia="仿宋_GB2312"/>
                <w:kern w:val="0"/>
                <w:sz w:val="24"/>
              </w:rPr>
              <w:t>机房管理员开启考场所有计算机，将所有考试机设定为“进入等待登录界面”。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7" w:hRule="atLeast"/>
          <w:jc w:val="center"/>
        </w:trPr>
        <w:tc>
          <w:tcPr>
            <w:tcW w:w="1012" w:type="dxa"/>
            <w:tcBorders>
              <w:top w:val="inset" w:color="auto" w:sz="6" w:space="0"/>
              <w:left w:val="inset" w:color="auto" w:sz="6" w:space="0"/>
              <w:bottom w:val="single" w:color="999999" w:sz="2"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考前60</w:t>
            </w:r>
          </w:p>
          <w:p>
            <w:pPr>
              <w:widowControl/>
              <w:jc w:val="center"/>
              <w:rPr>
                <w:rFonts w:ascii="仿宋_GB2312" w:hAnsi="Arial" w:eastAsia="仿宋_GB2312"/>
                <w:kern w:val="0"/>
                <w:sz w:val="24"/>
              </w:rPr>
            </w:pPr>
            <w:r>
              <w:rPr>
                <w:rFonts w:hint="eastAsia" w:ascii="仿宋_GB2312" w:hAnsi="Arial" w:eastAsia="仿宋_GB2312"/>
                <w:kern w:val="0"/>
                <w:sz w:val="24"/>
              </w:rPr>
              <w:t>分钟</w:t>
            </w:r>
          </w:p>
        </w:tc>
        <w:tc>
          <w:tcPr>
            <w:tcW w:w="919" w:type="dxa"/>
            <w:tcBorders>
              <w:top w:val="inset" w:color="auto" w:sz="6" w:space="0"/>
              <w:left w:val="single" w:color="auto" w:sz="2" w:space="0"/>
              <w:bottom w:val="single" w:color="999999" w:sz="2" w:space="0"/>
              <w:right w:val="inset" w:color="auto" w:sz="6" w:space="0"/>
            </w:tcBorders>
            <w:vAlign w:val="center"/>
          </w:tcPr>
          <w:p>
            <w:pPr>
              <w:jc w:val="center"/>
              <w:rPr>
                <w:rFonts w:ascii="仿宋_GB2312" w:hAnsi="Arial" w:eastAsia="仿宋_GB2312"/>
                <w:kern w:val="0"/>
                <w:sz w:val="24"/>
              </w:rPr>
            </w:pPr>
            <w:r>
              <w:rPr>
                <w:rFonts w:hint="eastAsia" w:ascii="仿宋_GB2312" w:hAnsi="Arial" w:eastAsia="仿宋_GB2312"/>
                <w:kern w:val="0"/>
                <w:sz w:val="24"/>
              </w:rPr>
              <w:t>3</w:t>
            </w:r>
          </w:p>
        </w:tc>
        <w:tc>
          <w:tcPr>
            <w:tcW w:w="7169" w:type="dxa"/>
            <w:tcBorders>
              <w:top w:val="inset" w:color="auto" w:sz="6" w:space="0"/>
              <w:left w:val="single" w:color="auto" w:sz="2" w:space="0"/>
              <w:bottom w:val="single" w:color="999999" w:sz="2" w:space="0"/>
              <w:right w:val="inset" w:color="auto" w:sz="6" w:space="0"/>
            </w:tcBorders>
            <w:vAlign w:val="center"/>
          </w:tcPr>
          <w:p>
            <w:pPr>
              <w:ind w:firstLine="240" w:firstLineChars="100"/>
              <w:rPr>
                <w:rFonts w:ascii="仿宋_GB2312" w:hAnsi="Arial" w:eastAsia="仿宋_GB2312"/>
                <w:kern w:val="0"/>
                <w:sz w:val="24"/>
              </w:rPr>
            </w:pPr>
            <w:r>
              <w:rPr>
                <w:rFonts w:hint="eastAsia" w:ascii="仿宋_GB2312" w:hAnsi="Arial" w:eastAsia="仿宋_GB2312"/>
                <w:kern w:val="0"/>
                <w:sz w:val="24"/>
              </w:rPr>
              <w:t>主监考组织所有监考人员进行现场抽签，确定各考场监考人员。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1" w:hRule="atLeast"/>
          <w:jc w:val="center"/>
        </w:trPr>
        <w:tc>
          <w:tcPr>
            <w:tcW w:w="1012" w:type="dxa"/>
            <w:vMerge w:val="restart"/>
            <w:tcBorders>
              <w:top w:val="single" w:color="auto" w:sz="4" w:space="0"/>
              <w:left w:val="inset" w:color="auto" w:sz="6" w:space="0"/>
              <w:bottom w:val="single" w:color="auto" w:sz="2"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考前50</w:t>
            </w:r>
          </w:p>
          <w:p>
            <w:pPr>
              <w:jc w:val="center"/>
              <w:rPr>
                <w:rFonts w:ascii="仿宋_GB2312" w:hAnsi="Arial" w:eastAsia="仿宋_GB2312"/>
                <w:kern w:val="0"/>
                <w:sz w:val="24"/>
              </w:rPr>
            </w:pPr>
            <w:r>
              <w:rPr>
                <w:rFonts w:hint="eastAsia" w:ascii="仿宋_GB2312" w:hAnsi="Arial" w:eastAsia="仿宋_GB2312"/>
                <w:kern w:val="0"/>
                <w:sz w:val="24"/>
              </w:rPr>
              <w:t>分钟</w:t>
            </w:r>
          </w:p>
        </w:tc>
        <w:tc>
          <w:tcPr>
            <w:tcW w:w="919" w:type="dxa"/>
            <w:tcBorders>
              <w:top w:val="single" w:color="auto" w:sz="4" w:space="0"/>
              <w:left w:val="single" w:color="auto" w:sz="2" w:space="0"/>
              <w:bottom w:val="single" w:color="auto" w:sz="2" w:space="0"/>
              <w:right w:val="inset" w:color="auto" w:sz="6" w:space="0"/>
            </w:tcBorders>
            <w:vAlign w:val="center"/>
          </w:tcPr>
          <w:p>
            <w:pPr>
              <w:jc w:val="center"/>
              <w:rPr>
                <w:rFonts w:ascii="仿宋_GB2312" w:hAnsi="Arial" w:eastAsia="仿宋_GB2312"/>
                <w:kern w:val="0"/>
                <w:sz w:val="24"/>
              </w:rPr>
            </w:pPr>
            <w:r>
              <w:rPr>
                <w:rFonts w:hint="eastAsia" w:ascii="仿宋_GB2312" w:hAnsi="Arial" w:eastAsia="仿宋_GB2312"/>
                <w:kern w:val="0"/>
                <w:sz w:val="24"/>
              </w:rPr>
              <w:t>4</w:t>
            </w:r>
          </w:p>
        </w:tc>
        <w:tc>
          <w:tcPr>
            <w:tcW w:w="7169" w:type="dxa"/>
            <w:tcBorders>
              <w:top w:val="single" w:color="auto" w:sz="4" w:space="0"/>
              <w:left w:val="single" w:color="999999" w:sz="2" w:space="0"/>
              <w:bottom w:val="thinThickSmallGap" w:color="auto" w:sz="12" w:space="0"/>
              <w:right w:val="single" w:color="auto" w:sz="6" w:space="0"/>
            </w:tcBorders>
            <w:vAlign w:val="center"/>
          </w:tcPr>
          <w:p>
            <w:pPr>
              <w:ind w:left="239" w:leftChars="114"/>
              <w:rPr>
                <w:rFonts w:ascii="仿宋_GB2312" w:hAnsi="Arial" w:eastAsia="仿宋_GB2312"/>
                <w:kern w:val="0"/>
                <w:sz w:val="24"/>
              </w:rPr>
            </w:pPr>
            <w:r>
              <w:rPr>
                <w:rFonts w:hint="eastAsia" w:ascii="仿宋_GB2312" w:hAnsi="Arial" w:eastAsia="仿宋_GB2312"/>
                <w:kern w:val="0"/>
                <w:sz w:val="24"/>
              </w:rPr>
              <w:t>主监考组织卫生和保安人员在考点入口检查考生体温、身份证和准考证，引导考生有序进入考点。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4" w:space="0"/>
              <w:left w:val="inset" w:color="auto" w:sz="6" w:space="0"/>
              <w:bottom w:val="single" w:color="auto" w:sz="2"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5</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监考员到位，检查、准备签到系统，等待考生入场。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restart"/>
            <w:tcBorders>
              <w:top w:val="single" w:color="auto" w:sz="2" w:space="0"/>
              <w:left w:val="inset" w:color="auto" w:sz="6"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考前30</w:t>
            </w:r>
          </w:p>
          <w:p>
            <w:pPr>
              <w:widowControl/>
              <w:jc w:val="center"/>
              <w:rPr>
                <w:rFonts w:ascii="仿宋_GB2312" w:hAnsi="Arial" w:eastAsia="仿宋_GB2312"/>
                <w:kern w:val="0"/>
                <w:sz w:val="24"/>
              </w:rPr>
            </w:pPr>
            <w:r>
              <w:rPr>
                <w:rFonts w:hint="eastAsia" w:ascii="仿宋_GB2312" w:hAnsi="Arial" w:eastAsia="仿宋_GB2312"/>
                <w:kern w:val="0"/>
                <w:sz w:val="24"/>
              </w:rPr>
              <w:t>分钟</w:t>
            </w: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6</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监考员组织考生有序入场，进行电子签到并核对身份。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7</w:t>
            </w:r>
          </w:p>
        </w:tc>
        <w:tc>
          <w:tcPr>
            <w:tcW w:w="7169" w:type="dxa"/>
            <w:tcBorders>
              <w:top w:val="inset" w:color="auto" w:sz="6" w:space="0"/>
              <w:left w:val="single" w:color="auto" w:sz="2" w:space="0"/>
              <w:bottom w:val="inset" w:color="auto" w:sz="6" w:space="0"/>
              <w:right w:val="inset" w:color="auto" w:sz="6" w:space="0"/>
            </w:tcBorders>
            <w:vAlign w:val="center"/>
          </w:tcPr>
          <w:p>
            <w:pPr>
              <w:widowControl/>
              <w:ind w:left="239" w:leftChars="114"/>
              <w:rPr>
                <w:rFonts w:ascii="仿宋_GB2312" w:hAnsi="Arial" w:eastAsia="仿宋_GB2312"/>
                <w:kern w:val="0"/>
                <w:sz w:val="24"/>
              </w:rPr>
            </w:pPr>
            <w:r>
              <w:rPr>
                <w:rFonts w:hint="eastAsia" w:ascii="仿宋_GB2312" w:hAnsi="Arial" w:eastAsia="仿宋_GB2312"/>
                <w:kern w:val="0"/>
                <w:sz w:val="24"/>
              </w:rPr>
              <w:t>监考员引导考生入场并对号入座，指导考生入座后将证件统一放置于桌面上方，以备核查。</w:t>
            </w:r>
          </w:p>
          <w:p>
            <w:pPr>
              <w:widowControl/>
              <w:ind w:firstLine="240" w:firstLineChars="100"/>
              <w:rPr>
                <w:rFonts w:ascii="仿宋_GB2312" w:hAnsi="Arial" w:eastAsia="仿宋_GB2312"/>
                <w:kern w:val="0"/>
                <w:sz w:val="24"/>
              </w:rPr>
            </w:pPr>
            <w:r>
              <w:rPr>
                <w:rFonts w:hint="eastAsia" w:ascii="仿宋_GB2312" w:hAnsi="Arial" w:eastAsia="仿宋_GB2312"/>
                <w:kern w:val="0"/>
                <w:sz w:val="24"/>
              </w:rPr>
              <w:t>监考员查收违禁物品，下发演算用纸和演算用笔。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8</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监考员指导考生登录考试软件，进入考试等待界面。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restart"/>
            <w:tcBorders>
              <w:top w:val="single" w:color="auto" w:sz="2" w:space="0"/>
              <w:left w:val="inset" w:color="auto" w:sz="6"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考前</w:t>
            </w:r>
          </w:p>
          <w:p>
            <w:pPr>
              <w:widowControl/>
              <w:jc w:val="center"/>
              <w:rPr>
                <w:rFonts w:ascii="仿宋_GB2312" w:hAnsi="Arial" w:eastAsia="仿宋_GB2312"/>
                <w:kern w:val="0"/>
                <w:sz w:val="24"/>
              </w:rPr>
            </w:pPr>
            <w:r>
              <w:rPr>
                <w:rFonts w:hint="eastAsia" w:ascii="仿宋_GB2312" w:hAnsi="Arial" w:eastAsia="仿宋_GB2312"/>
                <w:kern w:val="0"/>
                <w:sz w:val="24"/>
              </w:rPr>
              <w:t>10</w:t>
            </w:r>
          </w:p>
          <w:p>
            <w:pPr>
              <w:widowControl/>
              <w:jc w:val="center"/>
              <w:rPr>
                <w:rFonts w:ascii="仿宋_GB2312" w:hAnsi="Arial" w:eastAsia="仿宋_GB2312"/>
                <w:kern w:val="0"/>
                <w:sz w:val="24"/>
              </w:rPr>
            </w:pPr>
            <w:r>
              <w:rPr>
                <w:rFonts w:hint="eastAsia" w:ascii="仿宋_GB2312" w:hAnsi="Arial" w:eastAsia="仿宋_GB2312"/>
                <w:kern w:val="0"/>
                <w:sz w:val="24"/>
              </w:rPr>
              <w:t>分钟</w:t>
            </w: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9</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监考员宣读《考场规则》和考试违纪违规行为处理规定。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10</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监考员在考试管理机上密切关注考生登录状态。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11</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考生登录系统后，在考试机上认真阅读《重要提示》。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restart"/>
            <w:tcBorders>
              <w:top w:val="single" w:color="auto" w:sz="2" w:space="0"/>
              <w:left w:val="inset" w:color="auto" w:sz="6"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考</w:t>
            </w:r>
          </w:p>
          <w:p>
            <w:pPr>
              <w:widowControl/>
              <w:jc w:val="center"/>
              <w:rPr>
                <w:rFonts w:ascii="仿宋_GB2312" w:hAnsi="Arial" w:eastAsia="仿宋_GB2312"/>
                <w:kern w:val="0"/>
                <w:sz w:val="24"/>
              </w:rPr>
            </w:pPr>
            <w:r>
              <w:rPr>
                <w:rFonts w:hint="eastAsia" w:ascii="仿宋_GB2312" w:hAnsi="Arial" w:eastAsia="仿宋_GB2312"/>
                <w:kern w:val="0"/>
                <w:sz w:val="24"/>
              </w:rPr>
              <w:t>试</w:t>
            </w:r>
          </w:p>
          <w:p>
            <w:pPr>
              <w:widowControl/>
              <w:jc w:val="center"/>
              <w:rPr>
                <w:rFonts w:ascii="仿宋_GB2312" w:hAnsi="Arial" w:eastAsia="仿宋_GB2312"/>
                <w:kern w:val="0"/>
                <w:sz w:val="24"/>
              </w:rPr>
            </w:pPr>
            <w:r>
              <w:rPr>
                <w:rFonts w:hint="eastAsia" w:ascii="仿宋_GB2312" w:hAnsi="Arial" w:eastAsia="仿宋_GB2312"/>
                <w:kern w:val="0"/>
                <w:sz w:val="24"/>
              </w:rPr>
              <w:t>开</w:t>
            </w:r>
          </w:p>
          <w:p>
            <w:pPr>
              <w:widowControl/>
              <w:jc w:val="center"/>
              <w:rPr>
                <w:rFonts w:ascii="仿宋_GB2312" w:hAnsi="Arial" w:eastAsia="仿宋_GB2312"/>
                <w:kern w:val="0"/>
                <w:sz w:val="24"/>
              </w:rPr>
            </w:pPr>
            <w:r>
              <w:rPr>
                <w:rFonts w:hint="eastAsia" w:ascii="仿宋_GB2312" w:hAnsi="Arial" w:eastAsia="仿宋_GB2312"/>
                <w:kern w:val="0"/>
                <w:sz w:val="24"/>
              </w:rPr>
              <w:t>始</w:t>
            </w: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12</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开考时间到，监考员宣布考试开始，提醒考生开始答题。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13</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监考员在考试管理机上密切关注考试状态，技术保障人员及时解决</w:t>
            </w:r>
          </w:p>
          <w:p>
            <w:pPr>
              <w:widowControl/>
              <w:ind w:firstLine="240" w:firstLineChars="100"/>
              <w:rPr>
                <w:rFonts w:ascii="仿宋_GB2312" w:hAnsi="Arial" w:eastAsia="仿宋_GB2312"/>
                <w:kern w:val="0"/>
                <w:sz w:val="24"/>
              </w:rPr>
            </w:pPr>
            <w:r>
              <w:rPr>
                <w:rFonts w:hint="eastAsia" w:ascii="仿宋_GB2312" w:hAnsi="Arial" w:eastAsia="仿宋_GB2312"/>
                <w:kern w:val="0"/>
                <w:sz w:val="24"/>
              </w:rPr>
              <w:t>突发软硬件故障。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14</w:t>
            </w:r>
          </w:p>
        </w:tc>
        <w:tc>
          <w:tcPr>
            <w:tcW w:w="7169" w:type="dxa"/>
            <w:tcBorders>
              <w:top w:val="inset" w:color="auto" w:sz="6" w:space="0"/>
              <w:left w:val="single" w:color="auto" w:sz="2" w:space="0"/>
              <w:bottom w:val="inset" w:color="auto" w:sz="6" w:space="0"/>
              <w:right w:val="inset" w:color="auto" w:sz="6" w:space="0"/>
            </w:tcBorders>
            <w:vAlign w:val="center"/>
          </w:tcPr>
          <w:p>
            <w:pPr>
              <w:widowControl/>
              <w:ind w:left="240" w:hanging="240" w:hangingChars="100"/>
              <w:rPr>
                <w:rFonts w:ascii="仿宋_GB2312" w:hAnsi="Arial" w:eastAsia="仿宋_GB2312"/>
                <w:kern w:val="0"/>
                <w:sz w:val="24"/>
              </w:rPr>
            </w:pPr>
            <w:r>
              <w:rPr>
                <w:rFonts w:hint="eastAsia" w:ascii="仿宋_GB2312" w:hAnsi="Arial" w:eastAsia="仿宋_GB2312"/>
                <w:kern w:val="0"/>
                <w:sz w:val="24"/>
              </w:rPr>
              <w:t xml:space="preserve">  监考员逐一核对考生本人与准考证、身份证上的照片是否相符，核对考试软件中显示的考生照片、姓名、准考证号是否与身份证、准考证相符。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15</w:t>
            </w:r>
          </w:p>
        </w:tc>
        <w:tc>
          <w:tcPr>
            <w:tcW w:w="7169" w:type="dxa"/>
            <w:tcBorders>
              <w:top w:val="inset" w:color="auto" w:sz="6" w:space="0"/>
              <w:left w:val="single" w:color="auto" w:sz="2" w:space="0"/>
              <w:bottom w:val="inset" w:color="auto" w:sz="6" w:space="0"/>
              <w:right w:val="inset" w:color="auto" w:sz="6" w:space="0"/>
            </w:tcBorders>
            <w:vAlign w:val="center"/>
          </w:tcPr>
          <w:p>
            <w:pPr>
              <w:widowControl/>
              <w:ind w:firstLine="240" w:firstLineChars="100"/>
              <w:rPr>
                <w:rFonts w:ascii="仿宋_GB2312" w:hAnsi="Arial" w:eastAsia="仿宋_GB2312"/>
                <w:kern w:val="0"/>
                <w:sz w:val="24"/>
              </w:rPr>
            </w:pPr>
            <w:r>
              <w:rPr>
                <w:rFonts w:hint="eastAsia" w:ascii="仿宋_GB2312" w:hAnsi="Arial" w:eastAsia="仿宋_GB2312"/>
                <w:kern w:val="0"/>
                <w:sz w:val="24"/>
              </w:rPr>
              <w:t>考试过程中考生确需暂时离开考场，考场监考应问明原因、做好记</w:t>
            </w:r>
          </w:p>
          <w:p>
            <w:pPr>
              <w:widowControl/>
              <w:ind w:firstLine="240" w:firstLineChars="100"/>
              <w:rPr>
                <w:rFonts w:ascii="仿宋_GB2312" w:hAnsi="Arial" w:eastAsia="仿宋_GB2312"/>
                <w:kern w:val="0"/>
                <w:sz w:val="24"/>
              </w:rPr>
            </w:pPr>
            <w:r>
              <w:rPr>
                <w:rFonts w:hint="eastAsia" w:ascii="仿宋_GB2312" w:hAnsi="Arial" w:eastAsia="仿宋_GB2312"/>
                <w:kern w:val="0"/>
                <w:sz w:val="24"/>
              </w:rPr>
              <w:t>录，并制定流动监考陪同往返。</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16</w:t>
            </w:r>
          </w:p>
        </w:tc>
        <w:tc>
          <w:tcPr>
            <w:tcW w:w="7169" w:type="dxa"/>
            <w:tcBorders>
              <w:top w:val="inset" w:color="auto" w:sz="6" w:space="0"/>
              <w:left w:val="single" w:color="auto" w:sz="2" w:space="0"/>
              <w:bottom w:val="inset" w:color="auto" w:sz="6" w:space="0"/>
              <w:right w:val="inset" w:color="auto" w:sz="6" w:space="0"/>
            </w:tcBorders>
            <w:vAlign w:val="center"/>
          </w:tcPr>
          <w:p>
            <w:pPr>
              <w:widowControl/>
              <w:ind w:firstLine="240" w:firstLineChars="100"/>
              <w:rPr>
                <w:rFonts w:ascii="仿宋_GB2312" w:hAnsi="Arial" w:eastAsia="仿宋_GB2312"/>
                <w:kern w:val="0"/>
                <w:sz w:val="24"/>
              </w:rPr>
            </w:pPr>
            <w:r>
              <w:rPr>
                <w:rFonts w:hint="eastAsia" w:ascii="仿宋_GB2312" w:hAnsi="Arial" w:eastAsia="仿宋_GB2312"/>
                <w:kern w:val="0"/>
                <w:sz w:val="24"/>
              </w:rPr>
              <w:t>考试过程中发现违规违纪问题，考场监考应将违规违纪考生的姓</w:t>
            </w:r>
          </w:p>
          <w:p>
            <w:pPr>
              <w:widowControl/>
              <w:ind w:firstLine="240" w:firstLineChars="100"/>
              <w:rPr>
                <w:rFonts w:ascii="仿宋_GB2312" w:hAnsi="Arial" w:eastAsia="仿宋_GB2312"/>
                <w:kern w:val="0"/>
                <w:sz w:val="24"/>
              </w:rPr>
            </w:pPr>
            <w:r>
              <w:rPr>
                <w:rFonts w:hint="eastAsia" w:ascii="仿宋_GB2312" w:hAnsi="Arial" w:eastAsia="仿宋_GB2312"/>
                <w:kern w:val="0"/>
                <w:sz w:val="24"/>
              </w:rPr>
              <w:t>名、准考证号、有效居民身份证号和行为事实详细记录在监考机和</w:t>
            </w:r>
          </w:p>
          <w:p>
            <w:pPr>
              <w:widowControl/>
              <w:ind w:firstLine="240" w:firstLineChars="100"/>
              <w:rPr>
                <w:rFonts w:ascii="仿宋_GB2312" w:hAnsi="Arial" w:eastAsia="仿宋_GB2312"/>
                <w:kern w:val="0"/>
                <w:sz w:val="24"/>
              </w:rPr>
            </w:pPr>
            <w:r>
              <w:rPr>
                <w:rFonts w:hint="eastAsia" w:ascii="仿宋_GB2312" w:hAnsi="Arial" w:eastAsia="仿宋_GB2312"/>
                <w:kern w:val="0"/>
                <w:sz w:val="24"/>
              </w:rPr>
              <w:t>《考试情况报告单》上，相关证据附在《考试情况报告单》后，由</w:t>
            </w:r>
          </w:p>
          <w:p>
            <w:pPr>
              <w:widowControl/>
              <w:ind w:firstLine="240" w:firstLineChars="100"/>
              <w:rPr>
                <w:rFonts w:ascii="仿宋_GB2312" w:hAnsi="Arial" w:eastAsia="仿宋_GB2312"/>
                <w:kern w:val="0"/>
                <w:sz w:val="24"/>
              </w:rPr>
            </w:pPr>
            <w:r>
              <w:rPr>
                <w:rFonts w:hint="eastAsia" w:ascii="仿宋_GB2312" w:hAnsi="Arial" w:eastAsia="仿宋_GB2312"/>
                <w:kern w:val="0"/>
                <w:sz w:val="24"/>
              </w:rPr>
              <w:t>2名或2名以上考场监考签字确认。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2" w:space="0"/>
              <w:left w:val="inset" w:color="auto" w:sz="6" w:space="0"/>
              <w:bottom w:val="inset" w:color="auto" w:sz="6"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17</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监考员于考试结束前10分钟提醒考生注意控制答题时间。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restart"/>
            <w:tcBorders>
              <w:top w:val="single" w:color="auto" w:sz="4" w:space="0"/>
              <w:left w:val="inset" w:color="auto" w:sz="6" w:space="0"/>
              <w:bottom w:val="single" w:color="auto" w:sz="2"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考</w:t>
            </w:r>
          </w:p>
          <w:p>
            <w:pPr>
              <w:widowControl/>
              <w:jc w:val="center"/>
              <w:rPr>
                <w:rFonts w:ascii="仿宋_GB2312" w:hAnsi="Arial" w:eastAsia="仿宋_GB2312"/>
                <w:kern w:val="0"/>
                <w:sz w:val="24"/>
              </w:rPr>
            </w:pPr>
            <w:r>
              <w:rPr>
                <w:rFonts w:hint="eastAsia" w:ascii="仿宋_GB2312" w:hAnsi="Arial" w:eastAsia="仿宋_GB2312"/>
                <w:kern w:val="0"/>
                <w:sz w:val="24"/>
              </w:rPr>
              <w:t>试</w:t>
            </w:r>
          </w:p>
          <w:p>
            <w:pPr>
              <w:widowControl/>
              <w:jc w:val="center"/>
              <w:rPr>
                <w:rFonts w:ascii="仿宋_GB2312" w:hAnsi="Arial" w:eastAsia="仿宋_GB2312"/>
                <w:kern w:val="0"/>
                <w:sz w:val="24"/>
              </w:rPr>
            </w:pPr>
            <w:r>
              <w:rPr>
                <w:rFonts w:hint="eastAsia" w:ascii="仿宋_GB2312" w:hAnsi="Arial" w:eastAsia="仿宋_GB2312"/>
                <w:kern w:val="0"/>
                <w:sz w:val="24"/>
              </w:rPr>
              <w:t>结</w:t>
            </w:r>
          </w:p>
          <w:p>
            <w:pPr>
              <w:widowControl/>
              <w:jc w:val="center"/>
              <w:rPr>
                <w:rFonts w:ascii="仿宋_GB2312" w:hAnsi="Arial" w:eastAsia="仿宋_GB2312"/>
                <w:kern w:val="0"/>
                <w:sz w:val="24"/>
              </w:rPr>
            </w:pPr>
            <w:r>
              <w:rPr>
                <w:rFonts w:hint="eastAsia" w:ascii="仿宋_GB2312" w:hAnsi="Arial" w:eastAsia="仿宋_GB2312"/>
                <w:kern w:val="0"/>
                <w:sz w:val="24"/>
              </w:rPr>
              <w:t>束</w:t>
            </w: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18</w:t>
            </w:r>
          </w:p>
        </w:tc>
        <w:tc>
          <w:tcPr>
            <w:tcW w:w="7169" w:type="dxa"/>
            <w:tcBorders>
              <w:top w:val="inset" w:color="auto" w:sz="6" w:space="0"/>
              <w:left w:val="single" w:color="auto" w:sz="2" w:space="0"/>
              <w:bottom w:val="inset" w:color="auto" w:sz="6" w:space="0"/>
              <w:right w:val="inset" w:color="auto" w:sz="6" w:space="0"/>
            </w:tcBorders>
            <w:vAlign w:val="center"/>
          </w:tcPr>
          <w:p>
            <w:pPr>
              <w:widowControl/>
              <w:ind w:left="240" w:hanging="240" w:hangingChars="100"/>
              <w:rPr>
                <w:rFonts w:ascii="仿宋_GB2312" w:hAnsi="Arial" w:eastAsia="仿宋_GB2312"/>
                <w:kern w:val="0"/>
                <w:sz w:val="24"/>
              </w:rPr>
            </w:pPr>
            <w:r>
              <w:rPr>
                <w:rFonts w:hint="eastAsia" w:ascii="仿宋_GB2312" w:hAnsi="Arial" w:eastAsia="仿宋_GB2312"/>
                <w:kern w:val="0"/>
                <w:sz w:val="24"/>
              </w:rPr>
              <w:t xml:space="preserve">  考试结束时间到，系统自动结束考试，自动回收考生答题数据并做加密处理。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4" w:space="0"/>
              <w:left w:val="inset" w:color="auto" w:sz="6" w:space="0"/>
              <w:bottom w:val="single" w:color="auto" w:sz="2"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19</w:t>
            </w:r>
          </w:p>
        </w:tc>
        <w:tc>
          <w:tcPr>
            <w:tcW w:w="7169" w:type="dxa"/>
            <w:tcBorders>
              <w:top w:val="inset" w:color="auto" w:sz="6" w:space="0"/>
              <w:left w:val="single" w:color="auto" w:sz="2" w:space="0"/>
              <w:bottom w:val="inset" w:color="auto" w:sz="6" w:space="0"/>
              <w:right w:val="inset" w:color="auto" w:sz="6" w:space="0"/>
            </w:tcBorders>
            <w:vAlign w:val="center"/>
          </w:tcPr>
          <w:p>
            <w:pPr>
              <w:widowControl/>
              <w:ind w:left="239" w:leftChars="114"/>
              <w:rPr>
                <w:rFonts w:ascii="仿宋_GB2312" w:hAnsi="Arial" w:eastAsia="仿宋_GB2312"/>
                <w:kern w:val="0"/>
                <w:sz w:val="24"/>
              </w:rPr>
            </w:pPr>
            <w:r>
              <w:rPr>
                <w:rFonts w:hint="eastAsia" w:ascii="仿宋_GB2312" w:hAnsi="Arial" w:eastAsia="仿宋_GB2312"/>
                <w:kern w:val="0"/>
                <w:sz w:val="24"/>
              </w:rPr>
              <w:t>考场监考回收演算纸笔，填写《考试情况报告单》，由2名或2名以上考场监考签字确认后，上交主监考或主监考指定人员。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4" w:space="0"/>
              <w:left w:val="inset" w:color="auto" w:sz="6" w:space="0"/>
              <w:bottom w:val="single" w:color="auto" w:sz="2"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20</w:t>
            </w:r>
          </w:p>
        </w:tc>
        <w:tc>
          <w:tcPr>
            <w:tcW w:w="7169" w:type="dxa"/>
            <w:tcBorders>
              <w:top w:val="inset" w:color="auto" w:sz="6" w:space="0"/>
              <w:left w:val="single" w:color="auto" w:sz="2" w:space="0"/>
              <w:bottom w:val="inset" w:color="auto" w:sz="6" w:space="0"/>
              <w:right w:val="inset" w:color="auto" w:sz="6" w:space="0"/>
            </w:tcBorders>
            <w:vAlign w:val="center"/>
          </w:tcPr>
          <w:p>
            <w:pPr>
              <w:widowControl/>
              <w:ind w:left="240" w:hanging="240" w:hangingChars="100"/>
              <w:rPr>
                <w:rFonts w:ascii="仿宋_GB2312" w:hAnsi="Arial" w:eastAsia="仿宋_GB2312"/>
                <w:kern w:val="0"/>
                <w:sz w:val="24"/>
              </w:rPr>
            </w:pPr>
            <w:r>
              <w:rPr>
                <w:rFonts w:hint="eastAsia" w:ascii="仿宋_GB2312" w:hAnsi="Arial" w:eastAsia="仿宋_GB2312"/>
                <w:kern w:val="0"/>
                <w:sz w:val="24"/>
              </w:rPr>
              <w:t xml:space="preserve">  监考员使用系统核查考生答题信息，核查无误后上传考试加密数据。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1012" w:type="dxa"/>
            <w:vMerge w:val="continue"/>
            <w:tcBorders>
              <w:top w:val="single" w:color="auto" w:sz="4" w:space="0"/>
              <w:left w:val="inset" w:color="auto" w:sz="6" w:space="0"/>
              <w:bottom w:val="single" w:color="auto" w:sz="2" w:space="0"/>
              <w:right w:val="inset" w:color="auto" w:sz="6" w:space="0"/>
            </w:tcBorders>
            <w:vAlign w:val="center"/>
          </w:tcPr>
          <w:p>
            <w:pPr>
              <w:widowControl/>
              <w:jc w:val="left"/>
              <w:rPr>
                <w:rFonts w:ascii="仿宋_GB2312" w:hAnsi="Arial" w:eastAsia="仿宋_GB2312"/>
                <w:kern w:val="0"/>
                <w:sz w:val="24"/>
              </w:rPr>
            </w:pPr>
          </w:p>
        </w:tc>
        <w:tc>
          <w:tcPr>
            <w:tcW w:w="919" w:type="dxa"/>
            <w:tcBorders>
              <w:top w:val="inset" w:color="auto" w:sz="6" w:space="0"/>
              <w:left w:val="single" w:color="auto" w:sz="2" w:space="0"/>
              <w:bottom w:val="inset" w:color="auto" w:sz="6" w:space="0"/>
              <w:right w:val="inset" w:color="auto" w:sz="6" w:space="0"/>
            </w:tcBorders>
            <w:vAlign w:val="center"/>
          </w:tcPr>
          <w:p>
            <w:pPr>
              <w:widowControl/>
              <w:jc w:val="center"/>
              <w:rPr>
                <w:rFonts w:ascii="仿宋_GB2312" w:hAnsi="Arial" w:eastAsia="仿宋_GB2312"/>
                <w:kern w:val="0"/>
                <w:sz w:val="24"/>
              </w:rPr>
            </w:pPr>
            <w:r>
              <w:rPr>
                <w:rFonts w:hint="eastAsia" w:ascii="仿宋_GB2312" w:hAnsi="Arial" w:eastAsia="仿宋_GB2312"/>
                <w:kern w:val="0"/>
                <w:sz w:val="24"/>
              </w:rPr>
              <w:t>21</w:t>
            </w:r>
          </w:p>
        </w:tc>
        <w:tc>
          <w:tcPr>
            <w:tcW w:w="7169" w:type="dxa"/>
            <w:tcBorders>
              <w:top w:val="inset" w:color="auto" w:sz="6" w:space="0"/>
              <w:left w:val="single" w:color="auto" w:sz="2" w:space="0"/>
              <w:bottom w:val="inset" w:color="auto" w:sz="6" w:space="0"/>
              <w:right w:val="inset" w:color="auto" w:sz="6" w:space="0"/>
            </w:tcBorders>
            <w:vAlign w:val="center"/>
          </w:tcPr>
          <w:p>
            <w:pPr>
              <w:widowControl/>
              <w:rPr>
                <w:rFonts w:ascii="仿宋_GB2312" w:hAnsi="Arial" w:eastAsia="仿宋_GB2312"/>
                <w:kern w:val="0"/>
                <w:sz w:val="24"/>
              </w:rPr>
            </w:pPr>
            <w:r>
              <w:rPr>
                <w:rFonts w:hint="eastAsia" w:ascii="仿宋_GB2312" w:hAnsi="Arial" w:eastAsia="仿宋_GB2312"/>
                <w:kern w:val="0"/>
                <w:sz w:val="24"/>
              </w:rPr>
              <w:t xml:space="preserve">  监考员组织考生有序离场。</w:t>
            </w:r>
          </w:p>
        </w:tc>
      </w:tr>
    </w:tbl>
    <w:p>
      <w:pPr>
        <w:spacing w:line="20" w:lineRule="exact"/>
      </w:pP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（六）数据上传。</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1.上报当场考试数据。考后30分钟内，各考场利用考试系统将考试数据备份，并将该考试数据备份上传至省级服务器。</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2.上报本地区当天考试数据。省考办汇总全省当天考试数据，并上报至全国考办。初级每天19:00,中级每天22:00前，高级资格考试可在考试当天与中级资格考试一并完成数据上传工作。</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3.上报本地区所有考试数据。会计技术资格考试结束后1周内，省考办汇总全省所有批次考试数据，在检查数据完整性、进行违规违纪处理后，上报至全国考办。</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（七）评分及成绩发布。</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全国考办汇总全国考试数据，包括客观题部分的考生作答数据及主观题部分的评卷成绩数据进行计算机自动评分、合成后，生成成绩信息。2020年9月30日前，下发初级资格考试成绩。10月17日前，下发中、高级资格考试成绩，并在“全国会计资格评价网”公布</w:t>
      </w:r>
      <w:r>
        <w:rPr>
          <w:rFonts w:hint="eastAsia" w:ascii="仿宋_GB2312" w:hAnsi="Arial" w:eastAsia="仿宋_GB2312"/>
          <w:kern w:val="0"/>
          <w:sz w:val="32"/>
          <w:szCs w:val="32"/>
        </w:rPr>
        <w:t>。省考办在</w:t>
      </w:r>
      <w:r>
        <w:rPr>
          <w:rFonts w:hint="eastAsia" w:ascii="仿宋_GB2312" w:hAnsi="宋体" w:eastAsia="仿宋_GB2312"/>
          <w:sz w:val="32"/>
          <w:szCs w:val="32"/>
        </w:rPr>
        <w:t>“</w:t>
      </w:r>
      <w:r>
        <w:rPr>
          <w:rFonts w:hint="eastAsia" w:ascii="仿宋_GB2312" w:hAnsi="Arial" w:eastAsia="仿宋_GB2312"/>
          <w:kern w:val="0"/>
          <w:sz w:val="32"/>
          <w:szCs w:val="32"/>
        </w:rPr>
        <w:t>辽宁会计网”</w:t>
      </w:r>
      <w:r>
        <w:rPr>
          <w:rFonts w:hint="eastAsia" w:ascii="仿宋_GB2312" w:hAnsi="宋体" w:eastAsia="仿宋_GB2312"/>
          <w:sz w:val="32"/>
          <w:szCs w:val="32"/>
        </w:rPr>
        <w:t>同时公布</w:t>
      </w:r>
      <w:r>
        <w:rPr>
          <w:rFonts w:hint="eastAsia" w:ascii="仿宋_GB2312" w:hAnsi="Arial" w:eastAsia="仿宋_GB2312"/>
          <w:kern w:val="0"/>
          <w:sz w:val="32"/>
          <w:szCs w:val="32"/>
        </w:rPr>
        <w:t>考试成绩</w:t>
      </w:r>
      <w:r>
        <w:rPr>
          <w:rFonts w:hint="eastAsia" w:ascii="仿宋_GB2312" w:hAnsi="宋体" w:eastAsia="仿宋_GB2312"/>
          <w:sz w:val="32"/>
          <w:szCs w:val="32"/>
        </w:rPr>
        <w:t>。</w:t>
      </w:r>
    </w:p>
    <w:p>
      <w:pPr>
        <w:spacing w:line="5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（八）复核并报送本地区考试合格人员信息。</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考试成绩公布后1个月内，各市考办应通过信息服务平台复核本地区合格人员个人信息（包括姓名、证件号码、性别、出生年月、照片等）、合格人员总数、考生资格审查状况，并根据实际情况以书面形式及时向省考办上报的信息修改、成绩合成处理需求和复核结果，由省考办统一向全国考办报送有关信息。</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无纸化考试工作流程图见附件2。</w:t>
      </w:r>
    </w:p>
    <w:p>
      <w:pPr>
        <w:spacing w:line="520" w:lineRule="exact"/>
        <w:ind w:firstLine="640" w:firstLineChars="200"/>
        <w:rPr>
          <w:rFonts w:ascii="黑体" w:hAnsi="宋体" w:eastAsia="黑体"/>
          <w:sz w:val="32"/>
          <w:szCs w:val="32"/>
        </w:rPr>
      </w:pPr>
      <w:r>
        <w:rPr>
          <w:rFonts w:hint="eastAsia" w:ascii="黑体" w:hAnsi="宋体" w:eastAsia="黑体"/>
          <w:sz w:val="32"/>
          <w:szCs w:val="32"/>
        </w:rPr>
        <w:t>六、无纸化考试工作时间安排</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2020年度全省会计专业技术资格无纸化考试工作时间安排详见附件3。考场（点）经检测确定后，各市考办认真填报《2020年度全国会计专业技术初级资格无纸化考试批次明细表》（见附件4）上报省财政厅。8月8日前，各市考办统计考场视频监控情况，填写并报送《2020年度全国会计专业技术资格无纸化考试视频监控情况统计表》（见附件5）。</w:t>
      </w:r>
    </w:p>
    <w:p>
      <w:pPr>
        <w:spacing w:line="520" w:lineRule="exact"/>
        <w:rPr>
          <w:rFonts w:ascii="仿宋_GB2312" w:hAnsi="宋体" w:eastAsia="仿宋_GB2312"/>
          <w:sz w:val="32"/>
          <w:szCs w:val="32"/>
        </w:rPr>
      </w:pPr>
    </w:p>
    <w:p>
      <w:pPr>
        <w:spacing w:line="520" w:lineRule="exact"/>
        <w:ind w:firstLine="1600" w:firstLineChars="500"/>
        <w:rPr>
          <w:rFonts w:ascii="仿宋_GB2312" w:hAnsi="宋体" w:eastAsia="仿宋_GB2312"/>
          <w:sz w:val="32"/>
          <w:szCs w:val="32"/>
        </w:rPr>
      </w:pPr>
      <w:r>
        <w:rPr>
          <w:rFonts w:hint="eastAsia" w:ascii="仿宋_GB2312" w:hAnsi="宋体" w:eastAsia="仿宋_GB2312"/>
          <w:sz w:val="32"/>
          <w:szCs w:val="32"/>
        </w:rPr>
        <w:t xml:space="preserve">                         省财政厅</w:t>
      </w:r>
    </w:p>
    <w:p>
      <w:pPr>
        <w:spacing w:line="520" w:lineRule="exact"/>
        <w:ind w:firstLine="1600" w:firstLineChars="500"/>
        <w:rPr>
          <w:rFonts w:ascii="仿宋_GB2312" w:hAnsi="宋体" w:eastAsia="仿宋_GB2312"/>
          <w:sz w:val="32"/>
          <w:szCs w:val="32"/>
        </w:rPr>
      </w:pPr>
      <w:r>
        <w:rPr>
          <w:rFonts w:hint="eastAsia" w:ascii="仿宋_GB2312" w:hAnsi="宋体" w:eastAsia="仿宋_GB2312"/>
          <w:sz w:val="32"/>
          <w:szCs w:val="32"/>
        </w:rPr>
        <w:t xml:space="preserve">                      2020年7月6日</w:t>
      </w:r>
    </w:p>
    <w:p>
      <w:pPr>
        <w:rPr>
          <w:rFonts w:ascii="黑体" w:eastAsia="黑体"/>
          <w:sz w:val="32"/>
          <w:szCs w:val="32"/>
        </w:rPr>
      </w:pPr>
      <w:r>
        <w:rPr>
          <w:rFonts w:hint="eastAsia" w:ascii="仿宋_GB2312" w:eastAsia="仿宋_GB2312"/>
          <w:sz w:val="32"/>
          <w:szCs w:val="32"/>
        </w:rPr>
        <w:br w:type="page"/>
      </w:r>
      <w:r>
        <w:rPr>
          <w:rFonts w:hint="eastAsia" w:ascii="黑体" w:eastAsia="黑体"/>
          <w:sz w:val="32"/>
          <w:szCs w:val="32"/>
        </w:rPr>
        <w:t>附件1</w:t>
      </w:r>
    </w:p>
    <w:p>
      <w:pPr>
        <w:jc w:val="center"/>
        <w:rPr>
          <w:rFonts w:ascii="黑体" w:eastAsia="黑体"/>
          <w:sz w:val="32"/>
          <w:szCs w:val="32"/>
        </w:rPr>
      </w:pPr>
    </w:p>
    <w:p>
      <w:pPr>
        <w:widowControl/>
        <w:spacing w:line="432" w:lineRule="auto"/>
        <w:jc w:val="center"/>
        <w:rPr>
          <w:rFonts w:ascii="宋体" w:hAnsi="宋体"/>
          <w:b/>
          <w:bCs/>
          <w:kern w:val="0"/>
          <w:sz w:val="44"/>
          <w:szCs w:val="44"/>
        </w:rPr>
      </w:pPr>
      <w:r>
        <w:rPr>
          <w:rFonts w:hint="eastAsia" w:ascii="宋体" w:hAnsi="宋体"/>
          <w:b/>
          <w:bCs/>
          <w:kern w:val="0"/>
          <w:sz w:val="44"/>
          <w:szCs w:val="44"/>
        </w:rPr>
        <w:t>2020年度会计专业技术资格无纸化考试</w:t>
      </w:r>
    </w:p>
    <w:p>
      <w:pPr>
        <w:widowControl/>
        <w:spacing w:line="432" w:lineRule="auto"/>
        <w:jc w:val="center"/>
        <w:rPr>
          <w:rFonts w:ascii="宋体"/>
          <w:b/>
          <w:bCs/>
          <w:sz w:val="36"/>
          <w:szCs w:val="36"/>
        </w:rPr>
      </w:pPr>
      <w:r>
        <w:rPr>
          <w:rFonts w:hint="eastAsia" w:ascii="宋体" w:hAnsi="宋体"/>
          <w:b/>
          <w:bCs/>
          <w:kern w:val="0"/>
          <w:sz w:val="44"/>
          <w:szCs w:val="44"/>
        </w:rPr>
        <w:t>考场（点）设备配置及网络环境要求</w:t>
      </w:r>
    </w:p>
    <w:p>
      <w:pPr>
        <w:spacing w:line="560" w:lineRule="exact"/>
        <w:jc w:val="center"/>
        <w:rPr>
          <w:rFonts w:ascii="宋体"/>
          <w:b/>
          <w:bCs/>
          <w:sz w:val="36"/>
          <w:szCs w:val="36"/>
        </w:rPr>
      </w:pPr>
    </w:p>
    <w:p>
      <w:pPr>
        <w:spacing w:line="520" w:lineRule="exact"/>
        <w:ind w:firstLine="640" w:firstLineChars="200"/>
        <w:rPr>
          <w:rFonts w:ascii="黑体" w:eastAsia="黑体"/>
          <w:sz w:val="32"/>
          <w:szCs w:val="32"/>
        </w:rPr>
      </w:pPr>
      <w:r>
        <w:rPr>
          <w:rFonts w:hint="eastAsia" w:ascii="黑体" w:eastAsia="黑体"/>
          <w:sz w:val="32"/>
          <w:szCs w:val="32"/>
        </w:rPr>
        <w:t>一、考场要求</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1.每个考生分配1台考试机，每个考场应配备考场人数5%的备用考试机。根据疫情，还应配备1个备用隔离考场。每个考点或考场根据签到方式和考生规模至少配备1台监考机（考务操作用）和1台管理机（实时备份数据，同时作为监考机的备用机），提供电子签到相关设备（如身份识别设备、摄像头等）。</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2.考试机、监考机、服务器操作系统干净、无病毒，并确保操作系统已经安装最新的更新及必备的软件。</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3.考试机、监考机、管理机需安装杀毒软件及最新病毒库，并启用防火墙。</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4.监考机、管理机尽量不安装还原卡或将还原卡设置为无效模式，考试机在设置好后可加上还原卡等保护措施以便于管理,但考试期间数据存放盘需要去掉还原卡保护。</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5.考场应达到有关消防要求，有稳定的电源。每个考点应有备用供电途径，每台服务器应配备可提供1小时以上供电时长的不间断电源（UPS）。</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6.若使用无盘工作站、摄像头等设备，请提前测试与考试系统的兼容性。</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7.应充分考虑由于考试设备（考试机、监考机、服务器等）老化造成的设备标识技术参数（CPU、内存及硬盘技术参数等）与实际性能不一致的情况，在进行考场测试时对使用时间较长的设备进行重点测试。</w:t>
      </w:r>
    </w:p>
    <w:p>
      <w:pPr>
        <w:spacing w:line="480" w:lineRule="exact"/>
        <w:ind w:firstLine="640" w:firstLineChars="200"/>
        <w:rPr>
          <w:rFonts w:ascii="黑体" w:eastAsia="黑体"/>
          <w:sz w:val="32"/>
          <w:szCs w:val="32"/>
        </w:rPr>
      </w:pPr>
      <w:r>
        <w:rPr>
          <w:rFonts w:hint="eastAsia" w:ascii="黑体" w:eastAsia="黑体"/>
          <w:sz w:val="32"/>
          <w:szCs w:val="32"/>
        </w:rPr>
        <w:t>二、网络要求</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1.网络交换机应是主流产品，稳定可靠。</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2.考点至少配备1台能够接入互联网的计算机，互联网接入网络带宽应达到5M独享。考点局域网应为TCP/IP协议的有线网络。</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3.考场内计算机应设为同一IP段。考试机、监考机、服务器之间连接带宽达到100M，考试机之间不得建立共享，每台考试机必须有独立管理员权限的登录用户。</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4.考试过程中，所有设备严禁访问互联网。</w:t>
      </w:r>
    </w:p>
    <w:p>
      <w:pPr>
        <w:spacing w:line="480" w:lineRule="exact"/>
        <w:ind w:firstLine="640" w:firstLineChars="200"/>
        <w:rPr>
          <w:rFonts w:ascii="黑体" w:eastAsia="黑体"/>
          <w:sz w:val="32"/>
          <w:szCs w:val="32"/>
        </w:rPr>
      </w:pPr>
      <w:r>
        <w:rPr>
          <w:rFonts w:hint="eastAsia" w:ascii="黑体" w:eastAsia="黑体"/>
          <w:sz w:val="32"/>
          <w:szCs w:val="32"/>
        </w:rPr>
        <w:t>三、服务器配置要求（数量要求均已包括1台备用机）</w:t>
      </w:r>
    </w:p>
    <w:p>
      <w:pPr>
        <w:spacing w:line="480" w:lineRule="exact"/>
        <w:ind w:firstLine="640" w:firstLineChars="200"/>
        <w:rPr>
          <w:rFonts w:ascii="仿宋_GB2312" w:hAnsi="宋体" w:eastAsia="仿宋_GB2312"/>
          <w:sz w:val="32"/>
          <w:szCs w:val="32"/>
        </w:rPr>
      </w:pPr>
      <w:r>
        <w:rPr>
          <w:rFonts w:hint="eastAsia" w:ascii="仿宋_GB2312" w:hAnsi="宋体" w:eastAsia="仿宋_GB2312"/>
          <w:sz w:val="32"/>
          <w:szCs w:val="32"/>
        </w:rPr>
        <w:t>1.3000-5000人规模，服务器配置要求如下：</w:t>
      </w:r>
    </w:p>
    <w:tbl>
      <w:tblPr>
        <w:tblStyle w:val="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4235"/>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设备名称</w:t>
            </w:r>
          </w:p>
        </w:tc>
        <w:tc>
          <w:tcPr>
            <w:tcW w:w="423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配置要求</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服务器</w:t>
            </w:r>
          </w:p>
        </w:tc>
        <w:tc>
          <w:tcPr>
            <w:tcW w:w="4235" w:type="dxa"/>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CPU 至强8核2.4GHz，2颗以上</w:t>
            </w:r>
          </w:p>
          <w:p>
            <w:pPr>
              <w:spacing w:line="360" w:lineRule="auto"/>
              <w:rPr>
                <w:rFonts w:ascii="仿宋_GB2312" w:hAnsi="宋体" w:eastAsia="仿宋_GB2312"/>
                <w:sz w:val="24"/>
              </w:rPr>
            </w:pPr>
            <w:r>
              <w:rPr>
                <w:rFonts w:hint="eastAsia" w:ascii="仿宋_GB2312" w:hAnsi="宋体" w:eastAsia="仿宋_GB2312"/>
                <w:sz w:val="24"/>
              </w:rPr>
              <w:t>内存32G以上</w:t>
            </w:r>
          </w:p>
          <w:p>
            <w:pPr>
              <w:spacing w:line="360" w:lineRule="auto"/>
              <w:rPr>
                <w:rFonts w:ascii="仿宋_GB2312" w:hAnsi="宋体" w:eastAsia="仿宋_GB2312"/>
                <w:sz w:val="24"/>
              </w:rPr>
            </w:pPr>
            <w:r>
              <w:rPr>
                <w:rFonts w:hint="eastAsia" w:ascii="仿宋_GB2312" w:hAnsi="宋体" w:eastAsia="仿宋_GB2312"/>
                <w:sz w:val="24"/>
              </w:rPr>
              <w:t>硬盘300G×4（raid5）以上</w:t>
            </w:r>
          </w:p>
          <w:p>
            <w:pPr>
              <w:spacing w:line="360" w:lineRule="auto"/>
              <w:rPr>
                <w:rFonts w:ascii="仿宋_GB2312" w:hAnsi="宋体" w:eastAsia="仿宋_GB2312"/>
                <w:sz w:val="24"/>
              </w:rPr>
            </w:pPr>
            <w:r>
              <w:rPr>
                <w:rFonts w:hint="eastAsia" w:ascii="仿宋_GB2312" w:hAnsi="宋体" w:eastAsia="仿宋_GB2312"/>
                <w:sz w:val="24"/>
              </w:rPr>
              <w:t>Windows Server 2008 R2 64位/Windows Server 2003 SP2 64位</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UPS</w:t>
            </w:r>
          </w:p>
        </w:tc>
        <w:tc>
          <w:tcPr>
            <w:tcW w:w="4235" w:type="dxa"/>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能保证1个小时供电</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r>
    </w:tbl>
    <w:p>
      <w:pPr>
        <w:spacing w:line="360" w:lineRule="auto"/>
        <w:ind w:firstLine="640" w:firstLineChars="200"/>
        <w:rPr>
          <w:rFonts w:ascii="仿宋_GB2312" w:hAnsi="华文仿宋" w:eastAsia="仿宋_GB2312"/>
          <w:sz w:val="32"/>
          <w:szCs w:val="32"/>
        </w:rPr>
      </w:pPr>
      <w:r>
        <w:rPr>
          <w:rFonts w:hint="eastAsia" w:ascii="仿宋_GB2312" w:hAnsi="华文仿宋" w:eastAsia="仿宋_GB2312"/>
          <w:sz w:val="32"/>
          <w:szCs w:val="32"/>
        </w:rPr>
        <w:t>2.1000-3000人规模，服务器配置要求如下：</w:t>
      </w:r>
    </w:p>
    <w:tbl>
      <w:tblPr>
        <w:tblStyle w:val="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423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设备名称</w:t>
            </w:r>
          </w:p>
        </w:tc>
        <w:tc>
          <w:tcPr>
            <w:tcW w:w="4234" w:type="dxa"/>
            <w:tcBorders>
              <w:top w:val="single" w:color="auto" w:sz="4" w:space="0"/>
              <w:left w:val="nil"/>
              <w:bottom w:val="single" w:color="auto" w:sz="4" w:space="0"/>
              <w:right w:val="single" w:color="auto" w:sz="4" w:space="0"/>
            </w:tcBorders>
          </w:tcPr>
          <w:p>
            <w:pPr>
              <w:spacing w:line="360" w:lineRule="auto"/>
              <w:jc w:val="center"/>
              <w:rPr>
                <w:rFonts w:ascii="仿宋_GB2312" w:hAnsi="宋体" w:eastAsia="仿宋_GB2312"/>
                <w:sz w:val="24"/>
              </w:rPr>
            </w:pPr>
            <w:r>
              <w:rPr>
                <w:rFonts w:hint="eastAsia" w:ascii="仿宋_GB2312" w:hAnsi="宋体" w:eastAsia="仿宋_GB2312"/>
                <w:sz w:val="24"/>
              </w:rPr>
              <w:t>配置要求</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服务器</w:t>
            </w:r>
          </w:p>
        </w:tc>
        <w:tc>
          <w:tcPr>
            <w:tcW w:w="4234" w:type="dxa"/>
            <w:tcBorders>
              <w:top w:val="single" w:color="auto" w:sz="4" w:space="0"/>
              <w:left w:val="nil"/>
              <w:bottom w:val="single" w:color="auto" w:sz="4" w:space="0"/>
              <w:right w:val="single" w:color="auto" w:sz="4" w:space="0"/>
            </w:tcBorders>
          </w:tcPr>
          <w:p>
            <w:pPr>
              <w:keepNext/>
              <w:keepLines/>
              <w:shd w:val="clear" w:color="auto" w:fill="FFFFFF"/>
              <w:spacing w:line="360" w:lineRule="auto"/>
              <w:jc w:val="left"/>
              <w:outlineLvl w:val="2"/>
              <w:rPr>
                <w:rFonts w:ascii="仿宋_GB2312" w:hAnsi="宋体" w:eastAsia="仿宋_GB2312"/>
                <w:sz w:val="24"/>
              </w:rPr>
            </w:pPr>
            <w:r>
              <w:rPr>
                <w:rFonts w:hint="eastAsia" w:ascii="仿宋_GB2312" w:hAnsi="宋体" w:eastAsia="仿宋_GB2312"/>
                <w:sz w:val="24"/>
              </w:rPr>
              <w:t>CPU 至强</w:t>
            </w:r>
            <w:r>
              <w:rPr>
                <w:rFonts w:hint="eastAsia" w:ascii="仿宋_GB2312" w:hAnsi="宋体" w:eastAsia="仿宋_GB2312"/>
                <w:color w:val="333333"/>
                <w:sz w:val="24"/>
              </w:rPr>
              <w:t>6核2.4GHz，</w:t>
            </w:r>
            <w:r>
              <w:rPr>
                <w:rFonts w:hint="eastAsia" w:ascii="仿宋_GB2312" w:hAnsi="宋体" w:eastAsia="仿宋_GB2312"/>
                <w:sz w:val="24"/>
              </w:rPr>
              <w:t>2颗以上</w:t>
            </w:r>
          </w:p>
          <w:p>
            <w:pPr>
              <w:keepNext/>
              <w:keepLines/>
              <w:shd w:val="clear" w:color="auto" w:fill="FFFFFF"/>
              <w:spacing w:line="360" w:lineRule="auto"/>
              <w:jc w:val="left"/>
              <w:outlineLvl w:val="2"/>
              <w:rPr>
                <w:rFonts w:ascii="仿宋_GB2312" w:hAnsi="宋体" w:eastAsia="仿宋_GB2312"/>
                <w:sz w:val="24"/>
              </w:rPr>
            </w:pPr>
            <w:r>
              <w:rPr>
                <w:rFonts w:hint="eastAsia" w:ascii="仿宋_GB2312" w:hAnsi="宋体" w:eastAsia="仿宋_GB2312"/>
                <w:sz w:val="24"/>
              </w:rPr>
              <w:t>内存32G以上</w:t>
            </w:r>
          </w:p>
          <w:p>
            <w:pPr>
              <w:keepNext/>
              <w:keepLines/>
              <w:shd w:val="clear" w:color="auto" w:fill="FFFFFF"/>
              <w:spacing w:line="360" w:lineRule="auto"/>
              <w:jc w:val="left"/>
              <w:outlineLvl w:val="2"/>
              <w:rPr>
                <w:rFonts w:ascii="仿宋_GB2312" w:hAnsi="宋体" w:eastAsia="仿宋_GB2312"/>
                <w:sz w:val="24"/>
              </w:rPr>
            </w:pPr>
            <w:r>
              <w:rPr>
                <w:rFonts w:hint="eastAsia" w:ascii="仿宋_GB2312" w:hAnsi="宋体" w:eastAsia="仿宋_GB2312"/>
                <w:sz w:val="24"/>
              </w:rPr>
              <w:t>硬盘300G×4以上</w:t>
            </w:r>
          </w:p>
          <w:p>
            <w:pPr>
              <w:keepNext/>
              <w:keepLines/>
              <w:shd w:val="clear" w:color="auto" w:fill="FFFFFF"/>
              <w:spacing w:line="360" w:lineRule="auto"/>
              <w:jc w:val="left"/>
              <w:outlineLvl w:val="2"/>
              <w:rPr>
                <w:rFonts w:ascii="仿宋_GB2312" w:hAnsi="宋体" w:eastAsia="仿宋_GB2312"/>
                <w:sz w:val="24"/>
              </w:rPr>
            </w:pPr>
            <w:r>
              <w:rPr>
                <w:rFonts w:hint="eastAsia" w:ascii="仿宋_GB2312" w:hAnsi="宋体" w:eastAsia="仿宋_GB2312"/>
                <w:sz w:val="24"/>
              </w:rPr>
              <w:t>Windows Server 2008 R2 64位/Windows Server 2003 SP2 64位</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UPS</w:t>
            </w:r>
          </w:p>
        </w:tc>
        <w:tc>
          <w:tcPr>
            <w:tcW w:w="4234" w:type="dxa"/>
            <w:tcBorders>
              <w:top w:val="single" w:color="auto" w:sz="4" w:space="0"/>
              <w:left w:val="nil"/>
              <w:bottom w:val="single" w:color="auto" w:sz="4" w:space="0"/>
              <w:right w:val="single" w:color="auto" w:sz="4" w:space="0"/>
            </w:tcBorders>
          </w:tcPr>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能保证1个小时供电</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r>
    </w:tbl>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3.200-1000人规模，服务器配置要求如下：</w:t>
      </w:r>
    </w:p>
    <w:tbl>
      <w:tblPr>
        <w:tblStyle w:val="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4235"/>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设备名称</w:t>
            </w:r>
          </w:p>
        </w:tc>
        <w:tc>
          <w:tcPr>
            <w:tcW w:w="4235"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配置要求</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服务器</w:t>
            </w:r>
          </w:p>
        </w:tc>
        <w:tc>
          <w:tcPr>
            <w:tcW w:w="4235" w:type="dxa"/>
            <w:tcBorders>
              <w:top w:val="single" w:color="auto" w:sz="4" w:space="0"/>
              <w:left w:val="nil"/>
              <w:bottom w:val="single" w:color="auto" w:sz="4" w:space="0"/>
              <w:right w:val="single" w:color="auto" w:sz="4" w:space="0"/>
            </w:tcBorders>
          </w:tcPr>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CPU 至强</w:t>
            </w:r>
            <w:r>
              <w:rPr>
                <w:rFonts w:hint="eastAsia" w:ascii="仿宋_GB2312" w:hAnsi="宋体" w:eastAsia="仿宋_GB2312"/>
                <w:color w:val="333333"/>
                <w:sz w:val="24"/>
              </w:rPr>
              <w:t>4核2.4GHz，</w:t>
            </w:r>
            <w:r>
              <w:rPr>
                <w:rFonts w:hint="eastAsia" w:ascii="仿宋_GB2312" w:hAnsi="宋体" w:eastAsia="仿宋_GB2312"/>
                <w:sz w:val="24"/>
              </w:rPr>
              <w:t>2颗以上</w:t>
            </w:r>
          </w:p>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内存16G以上， 硬盘300G×4以上</w:t>
            </w:r>
          </w:p>
          <w:p>
            <w:pPr>
              <w:spacing w:line="360" w:lineRule="auto"/>
              <w:rPr>
                <w:rFonts w:ascii="仿宋_GB2312" w:hAnsi="宋体" w:eastAsia="仿宋_GB2312"/>
                <w:sz w:val="24"/>
              </w:rPr>
            </w:pPr>
            <w:r>
              <w:rPr>
                <w:rFonts w:hint="eastAsia" w:ascii="仿宋_GB2312" w:hAnsi="宋体" w:eastAsia="仿宋_GB2312"/>
                <w:sz w:val="24"/>
              </w:rPr>
              <w:t>Windows Server 2008 R2/Windows Server 2003 SP2</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UPS</w:t>
            </w:r>
          </w:p>
        </w:tc>
        <w:tc>
          <w:tcPr>
            <w:tcW w:w="4235" w:type="dxa"/>
            <w:tcBorders>
              <w:top w:val="single" w:color="auto" w:sz="4" w:space="0"/>
              <w:left w:val="nil"/>
              <w:bottom w:val="single" w:color="auto" w:sz="4" w:space="0"/>
              <w:right w:val="single" w:color="auto" w:sz="4" w:space="0"/>
            </w:tcBorders>
          </w:tcPr>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能保证1个小时供电</w:t>
            </w:r>
          </w:p>
        </w:tc>
        <w:tc>
          <w:tcPr>
            <w:tcW w:w="1693"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r>
    </w:tbl>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4.200人以下规模，可以用高配置电脑作为服务器，最低配置要求如下：</w:t>
      </w:r>
    </w:p>
    <w:tbl>
      <w:tblPr>
        <w:tblStyle w:val="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4162"/>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设备名称</w:t>
            </w:r>
          </w:p>
        </w:tc>
        <w:tc>
          <w:tcPr>
            <w:tcW w:w="4162"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配置要求</w:t>
            </w:r>
          </w:p>
        </w:tc>
        <w:tc>
          <w:tcPr>
            <w:tcW w:w="1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服务器</w:t>
            </w:r>
          </w:p>
        </w:tc>
        <w:tc>
          <w:tcPr>
            <w:tcW w:w="4162" w:type="dxa"/>
            <w:tcBorders>
              <w:top w:val="single" w:color="auto" w:sz="4" w:space="0"/>
              <w:left w:val="nil"/>
              <w:bottom w:val="single" w:color="auto" w:sz="4" w:space="0"/>
              <w:right w:val="single" w:color="auto" w:sz="4" w:space="0"/>
            </w:tcBorders>
          </w:tcPr>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CPU 型号：Intel 酷睿 i7 920</w:t>
            </w:r>
          </w:p>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CPU频率：2.66GHz</w:t>
            </w:r>
          </w:p>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内存容量：8GB DDR3 1600MHz</w:t>
            </w:r>
          </w:p>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硬盘容量：500G 7200转，SATA</w:t>
            </w:r>
          </w:p>
          <w:p>
            <w:pPr>
              <w:spacing w:line="360" w:lineRule="auto"/>
              <w:rPr>
                <w:rFonts w:ascii="仿宋_GB2312" w:hAnsi="宋体" w:eastAsia="仿宋_GB2312"/>
                <w:sz w:val="24"/>
              </w:rPr>
            </w:pPr>
            <w:r>
              <w:rPr>
                <w:rFonts w:hint="eastAsia" w:ascii="仿宋_GB2312" w:hAnsi="宋体" w:eastAsia="仿宋_GB2312"/>
                <w:sz w:val="24"/>
              </w:rPr>
              <w:t>Windows 7 64位</w:t>
            </w:r>
          </w:p>
        </w:tc>
        <w:tc>
          <w:tcPr>
            <w:tcW w:w="1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UPS</w:t>
            </w:r>
          </w:p>
        </w:tc>
        <w:tc>
          <w:tcPr>
            <w:tcW w:w="4162" w:type="dxa"/>
            <w:tcBorders>
              <w:top w:val="single" w:color="auto" w:sz="4" w:space="0"/>
              <w:left w:val="nil"/>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能保证1个小时供电</w:t>
            </w:r>
          </w:p>
        </w:tc>
        <w:tc>
          <w:tcPr>
            <w:tcW w:w="1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1</w:t>
            </w:r>
          </w:p>
        </w:tc>
      </w:tr>
    </w:tbl>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5.200人以下规模，用笔记本电脑作为服务器的最低配置要求如下：</w:t>
      </w:r>
    </w:p>
    <w:tbl>
      <w:tblPr>
        <w:tblStyle w:val="3"/>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4234"/>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设备名称</w:t>
            </w:r>
          </w:p>
        </w:tc>
        <w:tc>
          <w:tcPr>
            <w:tcW w:w="423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配置要求</w:t>
            </w:r>
          </w:p>
        </w:tc>
        <w:tc>
          <w:tcPr>
            <w:tcW w:w="1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服务器</w:t>
            </w:r>
          </w:p>
        </w:tc>
        <w:tc>
          <w:tcPr>
            <w:tcW w:w="4234" w:type="dxa"/>
            <w:tcBorders>
              <w:top w:val="single" w:color="auto" w:sz="4" w:space="0"/>
              <w:left w:val="nil"/>
              <w:bottom w:val="single" w:color="auto" w:sz="4" w:space="0"/>
              <w:right w:val="single" w:color="auto" w:sz="4" w:space="0"/>
            </w:tcBorders>
          </w:tcPr>
          <w:p>
            <w:pPr>
              <w:keepNext/>
              <w:keepLines/>
              <w:shd w:val="clear" w:color="auto" w:fill="FFFFFF"/>
              <w:spacing w:line="360" w:lineRule="auto"/>
              <w:outlineLvl w:val="2"/>
            </w:pPr>
            <w:r>
              <w:rPr>
                <w:rFonts w:hint="eastAsia" w:ascii="仿宋_GB2312" w:hAnsi="宋体" w:eastAsia="仿宋_GB2312"/>
                <w:sz w:val="24"/>
              </w:rPr>
              <w:t>CPU 型号：</w:t>
            </w:r>
            <w:r>
              <w:fldChar w:fldCharType="begin"/>
            </w:r>
            <w:r>
              <w:instrText xml:space="preserve"> HYPERLINK "http://detail.zol.com.cn/notebook_index/subcate16_list_p23064_1.html" </w:instrText>
            </w:r>
            <w:r>
              <w:fldChar w:fldCharType="separate"/>
            </w:r>
            <w:r>
              <w:rPr>
                <w:rStyle w:val="5"/>
              </w:rPr>
              <w:t xml:space="preserve">Intel </w:t>
            </w:r>
            <w:r>
              <w:rPr>
                <w:rStyle w:val="5"/>
                <w:rFonts w:hint="eastAsia"/>
              </w:rPr>
              <w:t>酷睿</w:t>
            </w:r>
            <w:r>
              <w:rPr>
                <w:rStyle w:val="5"/>
              </w:rPr>
              <w:t>i7 3610QM</w:t>
            </w:r>
            <w:r>
              <w:rPr>
                <w:rStyle w:val="5"/>
              </w:rPr>
              <w:fldChar w:fldCharType="end"/>
            </w:r>
          </w:p>
          <w:p>
            <w:pPr>
              <w:keepNext/>
              <w:keepLines/>
              <w:shd w:val="clear" w:color="auto" w:fill="FFFFFF"/>
              <w:spacing w:line="360" w:lineRule="auto"/>
              <w:outlineLvl w:val="2"/>
              <w:rPr>
                <w:rFonts w:ascii="仿宋_GB2312" w:hAnsi="宋体" w:eastAsia="仿宋_GB2312"/>
                <w:sz w:val="24"/>
              </w:rPr>
            </w:pPr>
            <w:r>
              <w:fldChar w:fldCharType="begin"/>
            </w:r>
            <w:r>
              <w:instrText xml:space="preserve"> HYPERLINK "http://detail.zol.com.cn/product_param/index37.html" </w:instrText>
            </w:r>
            <w:r>
              <w:fldChar w:fldCharType="separate"/>
            </w:r>
            <w:r>
              <w:rPr>
                <w:rStyle w:val="5"/>
              </w:rPr>
              <w:t>CPU</w:t>
            </w:r>
            <w:r>
              <w:rPr>
                <w:rStyle w:val="5"/>
                <w:rFonts w:hint="eastAsia"/>
              </w:rPr>
              <w:t>主频</w:t>
            </w:r>
            <w:r>
              <w:rPr>
                <w:rStyle w:val="5"/>
                <w:rFonts w:hint="eastAsia"/>
              </w:rPr>
              <w:fldChar w:fldCharType="end"/>
            </w:r>
            <w:r>
              <w:rPr>
                <w:rFonts w:hint="eastAsia"/>
              </w:rPr>
              <w:t>：</w:t>
            </w:r>
            <w:r>
              <w:t>2.3GHz</w:t>
            </w:r>
          </w:p>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内存容量：8GB DDR3 1600MHz</w:t>
            </w:r>
          </w:p>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硬盘容量：500G，SATA</w:t>
            </w:r>
          </w:p>
          <w:p>
            <w:pPr>
              <w:spacing w:line="360" w:lineRule="auto"/>
              <w:rPr>
                <w:rFonts w:ascii="仿宋_GB2312" w:hAnsi="宋体" w:eastAsia="仿宋_GB2312"/>
                <w:sz w:val="24"/>
              </w:rPr>
            </w:pPr>
            <w:r>
              <w:rPr>
                <w:rFonts w:hint="eastAsia" w:ascii="仿宋_GB2312" w:hAnsi="宋体" w:eastAsia="仿宋_GB2312"/>
                <w:sz w:val="24"/>
              </w:rPr>
              <w:t>Windows 7 64位</w:t>
            </w:r>
          </w:p>
        </w:tc>
        <w:tc>
          <w:tcPr>
            <w:tcW w:w="1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自带电池</w:t>
            </w:r>
          </w:p>
        </w:tc>
        <w:tc>
          <w:tcPr>
            <w:tcW w:w="4234" w:type="dxa"/>
            <w:tcBorders>
              <w:top w:val="single" w:color="auto" w:sz="4" w:space="0"/>
              <w:left w:val="nil"/>
              <w:bottom w:val="single" w:color="auto" w:sz="4" w:space="0"/>
              <w:right w:val="single" w:color="auto" w:sz="4" w:space="0"/>
            </w:tcBorders>
          </w:tcPr>
          <w:p>
            <w:pPr>
              <w:keepNext/>
              <w:keepLines/>
              <w:shd w:val="clear" w:color="auto" w:fill="FFFFFF"/>
              <w:spacing w:line="360" w:lineRule="auto"/>
              <w:outlineLvl w:val="2"/>
              <w:rPr>
                <w:rFonts w:ascii="仿宋_GB2312" w:hAnsi="宋体" w:eastAsia="仿宋_GB2312"/>
                <w:sz w:val="24"/>
              </w:rPr>
            </w:pPr>
            <w:r>
              <w:rPr>
                <w:rFonts w:hint="eastAsia" w:ascii="仿宋_GB2312" w:hAnsi="宋体" w:eastAsia="仿宋_GB2312"/>
                <w:sz w:val="24"/>
              </w:rPr>
              <w:t>能保证1个小时供电</w:t>
            </w:r>
          </w:p>
        </w:tc>
        <w:tc>
          <w:tcPr>
            <w:tcW w:w="1694" w:type="dxa"/>
            <w:tcBorders>
              <w:top w:val="single" w:color="auto" w:sz="4" w:space="0"/>
              <w:left w:val="nil"/>
              <w:bottom w:val="single" w:color="auto" w:sz="4" w:space="0"/>
              <w:right w:val="single" w:color="auto" w:sz="4" w:space="0"/>
            </w:tcBorders>
            <w:vAlign w:val="center"/>
          </w:tcPr>
          <w:p>
            <w:pPr>
              <w:spacing w:line="360" w:lineRule="auto"/>
              <w:jc w:val="center"/>
              <w:rPr>
                <w:rFonts w:ascii="仿宋_GB2312" w:hAnsi="宋体" w:eastAsia="仿宋_GB2312"/>
                <w:sz w:val="24"/>
              </w:rPr>
            </w:pPr>
            <w:r>
              <w:rPr>
                <w:rFonts w:hint="eastAsia" w:ascii="仿宋_GB2312" w:hAnsi="宋体" w:eastAsia="仿宋_GB2312"/>
                <w:sz w:val="24"/>
              </w:rPr>
              <w:t>-</w:t>
            </w:r>
          </w:p>
        </w:tc>
      </w:tr>
    </w:tbl>
    <w:p>
      <w:pPr>
        <w:spacing w:beforeLines="100" w:line="360" w:lineRule="auto"/>
        <w:ind w:firstLine="800" w:firstLineChars="250"/>
        <w:rPr>
          <w:rFonts w:ascii="黑体" w:eastAsia="黑体"/>
          <w:sz w:val="32"/>
          <w:szCs w:val="32"/>
        </w:rPr>
      </w:pPr>
    </w:p>
    <w:p>
      <w:pPr>
        <w:spacing w:beforeLines="100" w:line="360" w:lineRule="auto"/>
        <w:ind w:firstLine="800" w:firstLineChars="250"/>
        <w:rPr>
          <w:rFonts w:ascii="黑体" w:eastAsia="黑体"/>
          <w:sz w:val="32"/>
          <w:szCs w:val="32"/>
        </w:rPr>
      </w:pPr>
      <w:r>
        <w:rPr>
          <w:rFonts w:hint="eastAsia" w:ascii="黑体" w:eastAsia="黑体"/>
          <w:sz w:val="32"/>
          <w:szCs w:val="32"/>
        </w:rPr>
        <w:t>四、监考机要求</w:t>
      </w:r>
    </w:p>
    <w:p>
      <w:pPr>
        <w:spacing w:line="360" w:lineRule="auto"/>
        <w:ind w:firstLine="160" w:firstLineChars="50"/>
        <w:rPr>
          <w:rFonts w:ascii="仿宋_GB2312" w:hAnsi="宋体" w:eastAsia="仿宋_GB2312"/>
          <w:sz w:val="32"/>
          <w:szCs w:val="32"/>
        </w:rPr>
      </w:pPr>
      <w:r>
        <w:rPr>
          <w:rFonts w:hint="eastAsia" w:ascii="仿宋_GB2312" w:hAnsi="宋体" w:eastAsia="仿宋_GB2312"/>
          <w:sz w:val="32"/>
          <w:szCs w:val="32"/>
        </w:rPr>
        <w:t xml:space="preserve">    建议配置如下：</w:t>
      </w:r>
    </w:p>
    <w:tbl>
      <w:tblPr>
        <w:tblStyle w:val="3"/>
        <w:tblW w:w="0" w:type="auto"/>
        <w:tblInd w:w="5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6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设备名称</w:t>
            </w:r>
          </w:p>
        </w:tc>
        <w:tc>
          <w:tcPr>
            <w:tcW w:w="6119" w:type="dxa"/>
            <w:tcBorders>
              <w:top w:val="single" w:color="000000" w:sz="4" w:space="0"/>
              <w:left w:val="nil"/>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CPU</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双核，主频2GHz以上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内存</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1GB以上；推荐2GB以上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硬盘</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系统盘10GB以上空闲空间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显示器</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分辨率1024</w:t>
            </w:r>
            <w:r>
              <w:rPr>
                <w:rFonts w:hint="eastAsia" w:ascii="宋体" w:hAnsi="宋体"/>
                <w:sz w:val="24"/>
              </w:rPr>
              <w:t>×</w:t>
            </w:r>
            <w:r>
              <w:rPr>
                <w:rFonts w:hint="eastAsia" w:ascii="仿宋_GB2312" w:hAnsi="宋体" w:eastAsia="仿宋_GB2312"/>
                <w:sz w:val="24"/>
              </w:rPr>
              <w:t>768以上，彩色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网卡</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100M网卡1个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操作系统</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Windows XP SP3、Windows Server 2003、Windows 7，Windows 8,Windows 10，推荐Windows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局域网要求</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和本考场考生考试机在一个局域网内</w:t>
            </w:r>
          </w:p>
        </w:tc>
      </w:tr>
    </w:tbl>
    <w:p>
      <w:pPr>
        <w:spacing w:beforeLines="100"/>
        <w:ind w:firstLine="640" w:firstLineChars="200"/>
        <w:rPr>
          <w:rFonts w:ascii="黑体" w:eastAsia="黑体"/>
          <w:sz w:val="32"/>
          <w:szCs w:val="32"/>
        </w:rPr>
      </w:pPr>
      <w:r>
        <w:rPr>
          <w:rFonts w:hint="eastAsia" w:ascii="黑体" w:eastAsia="黑体"/>
          <w:sz w:val="32"/>
          <w:szCs w:val="32"/>
        </w:rPr>
        <w:t>五、考试机要求</w:t>
      </w:r>
    </w:p>
    <w:tbl>
      <w:tblPr>
        <w:tblStyle w:val="3"/>
        <w:tblW w:w="0" w:type="auto"/>
        <w:tblInd w:w="5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9"/>
        <w:gridCol w:w="6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设备名称</w:t>
            </w:r>
          </w:p>
        </w:tc>
        <w:tc>
          <w:tcPr>
            <w:tcW w:w="6119" w:type="dxa"/>
            <w:tcBorders>
              <w:top w:val="single" w:color="000000" w:sz="4" w:space="0"/>
              <w:left w:val="nil"/>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CPU</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双核，主频1GHz以上；推荐双核，主频2GHz以上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内存</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512MB以上；推荐1GB以上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硬盘</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系统盘2G以上空闲空间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显示器</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分辨率1024×768以上，彩色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网卡</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100M网卡1个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操作系统</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Windows XP SP3、Windows 7，Windows 8,Windows 10，推荐Windows XP SP3和Windows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IE浏览器</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IE8/IE9/IE10/IE11，推荐IE8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sz w:val="24"/>
              </w:rPr>
            </w:pPr>
            <w:r>
              <w:rPr>
                <w:rFonts w:hint="eastAsia" w:ascii="仿宋_GB2312" w:hAnsi="宋体" w:eastAsia="仿宋_GB2312"/>
                <w:sz w:val="24"/>
              </w:rPr>
              <w:t>局域网要求</w:t>
            </w:r>
          </w:p>
        </w:tc>
        <w:tc>
          <w:tcPr>
            <w:tcW w:w="6119" w:type="dxa"/>
            <w:tcBorders>
              <w:top w:val="single" w:color="000000" w:sz="4" w:space="0"/>
              <w:left w:val="nil"/>
              <w:bottom w:val="single" w:color="000000" w:sz="4" w:space="0"/>
              <w:right w:val="single" w:color="000000" w:sz="4" w:space="0"/>
            </w:tcBorders>
            <w:vAlign w:val="center"/>
          </w:tcPr>
          <w:p>
            <w:pPr>
              <w:rPr>
                <w:rFonts w:ascii="仿宋_GB2312" w:hAnsi="宋体" w:eastAsia="仿宋_GB2312"/>
                <w:sz w:val="24"/>
              </w:rPr>
            </w:pPr>
            <w:r>
              <w:rPr>
                <w:rFonts w:hint="eastAsia" w:ascii="仿宋_GB2312" w:hAnsi="宋体" w:eastAsia="仿宋_GB2312"/>
                <w:sz w:val="24"/>
              </w:rPr>
              <w:t>和服务器在一个局域网内</w:t>
            </w:r>
          </w:p>
        </w:tc>
      </w:tr>
    </w:tbl>
    <w:p>
      <w:pPr>
        <w:spacing w:beforeLines="100" w:line="360" w:lineRule="auto"/>
        <w:ind w:firstLine="640" w:firstLineChars="200"/>
        <w:jc w:val="left"/>
        <w:rPr>
          <w:rFonts w:ascii="黑体" w:eastAsia="黑体"/>
          <w:sz w:val="32"/>
          <w:szCs w:val="32"/>
        </w:rPr>
      </w:pPr>
      <w:r>
        <w:rPr>
          <w:rFonts w:hint="eastAsia" w:ascii="黑体" w:eastAsia="黑体"/>
          <w:sz w:val="32"/>
          <w:szCs w:val="32"/>
        </w:rPr>
        <w:t>六、视频监控要求</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1.各考场须配置监控设备，建议采用市场主流产品。</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调整考场内各摄像头的监控范围，确保考场无盲区，调节摄像头图像，使得清晰度达到设备最佳。如果条件允许，每个考场每100台（及以下）考试机可配置一台带云台、360度旋转、650线高速摄像头，实时监控、抓拍考场情况。每台考试机可配置一对一的监控摄像头进行考试的全程录像。</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3.做好考试期间监控设备的录像工作，并由考点妥善保存录像文件4个月，以备事后回放。</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监控设备显示器应放在考场外的其他适当地点。如果条件允许，配置专用考点总控室，可同时监控所有考场的实时情况，能切换每个考场的声图信息到主画面，能手动锁定到每个考生的细节情况。声图信号稳定、清晰、同步。</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在信息安全前提下，监控设备应能够接入外网，可授权外网用户对每个考场进行巡考、录像。考点应安装防火墙,确保考点硬盘录像机接在本考点防火墙内，并做好相应安全措施，防止他人非法盗取、篡改或删除监控录像数据。</w:t>
      </w:r>
    </w:p>
    <w:p>
      <w:pPr>
        <w:spacing w:line="360" w:lineRule="auto"/>
        <w:ind w:firstLine="640" w:firstLineChars="200"/>
      </w:pPr>
      <w:r>
        <w:rPr>
          <w:rFonts w:hint="eastAsia" w:ascii="仿宋_GB2312" w:hAnsi="宋体" w:eastAsia="仿宋_GB2312"/>
          <w:sz w:val="32"/>
          <w:szCs w:val="32"/>
        </w:rPr>
        <w:t>6.8月8日前，由市级考试管理机构统计考场视频监控情况，填写并上报《2020年度全国会计专业技术资格无纸化考试视频监控情况统计表》。</w:t>
      </w:r>
    </w:p>
    <w:p>
      <w:pPr>
        <w:widowControl/>
        <w:spacing w:line="360" w:lineRule="auto"/>
        <w:jc w:val="left"/>
        <w:rPr>
          <w:rFonts w:ascii="黑体" w:hAnsi="宋体" w:eastAsia="黑体"/>
          <w:sz w:val="32"/>
          <w:szCs w:val="32"/>
        </w:rPr>
        <w:sectPr>
          <w:pgSz w:w="11906" w:h="16838"/>
          <w:pgMar w:top="1701" w:right="1418" w:bottom="1701" w:left="1418" w:header="720" w:footer="720" w:gutter="0"/>
          <w:pgNumType w:start="1"/>
          <w:cols w:space="720" w:num="1"/>
          <w:docGrid w:type="lines" w:linePitch="312" w:charSpace="0"/>
        </w:sectPr>
      </w:pPr>
    </w:p>
    <w:p>
      <w:pPr>
        <w:rPr>
          <w:rFonts w:ascii="黑体" w:eastAsia="黑体"/>
          <w:sz w:val="32"/>
          <w:szCs w:val="32"/>
        </w:rPr>
      </w:pPr>
      <w:r>
        <w:rPr>
          <w:rFonts w:hint="eastAsia" w:ascii="黑体" w:eastAsia="黑体"/>
          <w:sz w:val="32"/>
          <w:szCs w:val="32"/>
        </w:rPr>
        <w:t>附件2</w:t>
      </w:r>
    </w:p>
    <w:p>
      <w:pPr>
        <w:ind w:right="-477" w:rightChars="-227"/>
        <w:jc w:val="center"/>
        <w:rPr>
          <w:rFonts w:ascii="宋体" w:hAnsi="宋体"/>
          <w:b/>
          <w:bCs/>
          <w:sz w:val="36"/>
          <w:szCs w:val="36"/>
        </w:rPr>
      </w:pPr>
      <w:r>
        <w:rPr>
          <w:rFonts w:hint="eastAsia" w:ascii="宋体" w:hAnsi="宋体"/>
          <w:b/>
          <w:bCs/>
          <w:sz w:val="36"/>
          <w:szCs w:val="36"/>
        </w:rPr>
        <w:t>2020年度全国会计专业技术资格无纸化考试工作流程图</w:t>
      </w:r>
    </w:p>
    <w:p>
      <w:pPr>
        <w:ind w:right="-477" w:rightChars="-227"/>
        <w:jc w:val="center"/>
      </w:pPr>
    </w:p>
    <w:p>
      <w:pPr>
        <w:ind w:right="-477" w:rightChars="-227"/>
        <w:jc w:val="center"/>
      </w:pPr>
      <w:r>
        <w:drawing>
          <wp:inline distT="0" distB="0" distL="0" distR="0">
            <wp:extent cx="8591550" cy="4191000"/>
            <wp:effectExtent l="19050" t="0" r="0" b="0"/>
            <wp:docPr id="1" name="图片 1" descr="../../Temp/ksohtml851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emp/ksohtml8512/wps1.png"/>
                    <pic:cNvPicPr>
                      <a:picLocks noChangeAspect="1" noChangeArrowheads="1"/>
                    </pic:cNvPicPr>
                  </pic:nvPicPr>
                  <pic:blipFill>
                    <a:blip r:embed="rId4" r:link="rId5" cstate="print"/>
                    <a:srcRect/>
                    <a:stretch>
                      <a:fillRect/>
                    </a:stretch>
                  </pic:blipFill>
                  <pic:spPr>
                    <a:xfrm>
                      <a:off x="0" y="0"/>
                      <a:ext cx="8591550" cy="4191000"/>
                    </a:xfrm>
                    <a:prstGeom prst="rect">
                      <a:avLst/>
                    </a:prstGeom>
                    <a:noFill/>
                    <a:ln w="9525">
                      <a:noFill/>
                      <a:miter lim="800000"/>
                      <a:headEnd/>
                      <a:tailEnd/>
                    </a:ln>
                  </pic:spPr>
                </pic:pic>
              </a:graphicData>
            </a:graphic>
          </wp:inline>
        </w:drawing>
      </w:r>
    </w:p>
    <w:p>
      <w:pPr>
        <w:widowControl/>
        <w:jc w:val="left"/>
        <w:rPr>
          <w:rFonts w:ascii="黑体" w:hAnsi="宋体" w:eastAsia="黑体"/>
          <w:sz w:val="32"/>
          <w:szCs w:val="32"/>
        </w:rPr>
        <w:sectPr>
          <w:pgSz w:w="16838" w:h="11906" w:orient="landscape"/>
          <w:pgMar w:top="1800" w:right="1440" w:bottom="1800" w:left="1440" w:header="720" w:footer="720" w:gutter="0"/>
          <w:cols w:space="720" w:num="1"/>
          <w:docGrid w:type="lines" w:linePitch="312" w:charSpace="0"/>
        </w:sectPr>
      </w:pPr>
    </w:p>
    <w:p>
      <w:pPr>
        <w:rPr>
          <w:rFonts w:ascii="黑体" w:eastAsia="黑体"/>
          <w:sz w:val="32"/>
          <w:szCs w:val="32"/>
        </w:rPr>
      </w:pPr>
      <w:r>
        <w:rPr>
          <w:rFonts w:hint="eastAsia" w:ascii="黑体" w:eastAsia="黑体"/>
          <w:sz w:val="32"/>
          <w:szCs w:val="32"/>
        </w:rPr>
        <w:t>附件3</w:t>
      </w:r>
    </w:p>
    <w:p>
      <w:pPr>
        <w:spacing w:line="400" w:lineRule="exact"/>
        <w:ind w:left="-37" w:leftChars="-152" w:right="-191" w:rightChars="-91" w:hanging="282" w:hangingChars="78"/>
        <w:jc w:val="center"/>
        <w:rPr>
          <w:rFonts w:ascii="宋体" w:hAnsi="宋体"/>
          <w:b/>
          <w:bCs/>
          <w:sz w:val="36"/>
          <w:szCs w:val="36"/>
        </w:rPr>
      </w:pPr>
      <w:r>
        <w:rPr>
          <w:rFonts w:hint="eastAsia" w:ascii="宋体" w:hAnsi="宋体"/>
          <w:b/>
          <w:bCs/>
          <w:sz w:val="36"/>
          <w:szCs w:val="36"/>
        </w:rPr>
        <w:t>2020年度全国会计专业技术资格无纸化考试</w:t>
      </w:r>
    </w:p>
    <w:p>
      <w:pPr>
        <w:spacing w:line="400" w:lineRule="exact"/>
        <w:ind w:left="-37" w:leftChars="-152" w:right="-191" w:rightChars="-91" w:hanging="282" w:hangingChars="78"/>
        <w:jc w:val="center"/>
        <w:rPr>
          <w:rFonts w:ascii="宋体" w:hAnsi="宋体"/>
          <w:b/>
          <w:bCs/>
          <w:sz w:val="36"/>
          <w:szCs w:val="36"/>
        </w:rPr>
      </w:pPr>
      <w:r>
        <w:rPr>
          <w:rFonts w:hint="eastAsia" w:ascii="宋体" w:hAnsi="宋体"/>
          <w:b/>
          <w:bCs/>
          <w:sz w:val="36"/>
          <w:szCs w:val="36"/>
        </w:rPr>
        <w:t>(辽宁考区)工作时间安排</w:t>
      </w:r>
    </w:p>
    <w:tbl>
      <w:tblPr>
        <w:tblStyle w:val="3"/>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时  间</w:t>
            </w:r>
          </w:p>
        </w:tc>
        <w:tc>
          <w:tcPr>
            <w:tcW w:w="663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7月20日前</w:t>
            </w:r>
          </w:p>
        </w:tc>
        <w:tc>
          <w:tcPr>
            <w:tcW w:w="6634" w:type="dxa"/>
            <w:tcBorders>
              <w:top w:val="single" w:color="auto" w:sz="4" w:space="0"/>
              <w:left w:val="nil"/>
              <w:bottom w:val="single" w:color="auto" w:sz="4" w:space="0"/>
              <w:right w:val="single" w:color="auto" w:sz="4" w:space="0"/>
            </w:tcBorders>
            <w:vAlign w:val="center"/>
          </w:tcPr>
          <w:p>
            <w:pPr>
              <w:spacing w:line="280" w:lineRule="exact"/>
              <w:rPr>
                <w:rFonts w:ascii="仿宋_GB2312" w:hAnsi="宋体" w:eastAsia="仿宋_GB2312"/>
                <w:sz w:val="24"/>
              </w:rPr>
            </w:pPr>
            <w:r>
              <w:rPr>
                <w:rFonts w:hint="eastAsia" w:ascii="仿宋_GB2312" w:hAnsi="宋体" w:eastAsia="仿宋_GB2312"/>
                <w:sz w:val="24"/>
              </w:rPr>
              <w:t>1.市考办落实初级、中级、高级资格无纸化考试考点、考场及机位。</w:t>
            </w:r>
          </w:p>
          <w:p>
            <w:pPr>
              <w:spacing w:line="280" w:lineRule="exact"/>
              <w:rPr>
                <w:rFonts w:ascii="仿宋_GB2312" w:hAnsi="宋体" w:eastAsia="仿宋_GB2312"/>
                <w:sz w:val="24"/>
              </w:rPr>
            </w:pPr>
            <w:r>
              <w:rPr>
                <w:rFonts w:hint="eastAsia" w:ascii="仿宋_GB2312" w:hAnsi="宋体" w:eastAsia="仿宋_GB2312"/>
                <w:sz w:val="24"/>
              </w:rPr>
              <w:t>2.市考办进行初级、中级、高级资格无纸化考试考场、网络及软硬件环境测试验收工作。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7月27日前</w:t>
            </w:r>
          </w:p>
        </w:tc>
        <w:tc>
          <w:tcPr>
            <w:tcW w:w="6634" w:type="dxa"/>
            <w:tcBorders>
              <w:top w:val="single" w:color="auto" w:sz="4" w:space="0"/>
              <w:left w:val="nil"/>
              <w:bottom w:val="single" w:color="auto" w:sz="4" w:space="0"/>
              <w:right w:val="single" w:color="auto" w:sz="4" w:space="0"/>
            </w:tcBorders>
            <w:vAlign w:val="center"/>
          </w:tcPr>
          <w:p>
            <w:pPr>
              <w:spacing w:line="280" w:lineRule="exact"/>
              <w:rPr>
                <w:rFonts w:ascii="仿宋_GB2312" w:hAnsi="宋体" w:eastAsia="仿宋_GB2312"/>
                <w:sz w:val="24"/>
              </w:rPr>
            </w:pPr>
            <w:r>
              <w:rPr>
                <w:rFonts w:hint="eastAsia" w:ascii="仿宋_GB2312" w:hAnsi="宋体" w:eastAsia="仿宋_GB2312"/>
                <w:sz w:val="24"/>
              </w:rPr>
              <w:t>市考办填写上报《2020年度全国会计专业技术初级资格无纸化考试批次明细表》和《2020年度全国会计专业技术中、高级资格无纸化考试批次明细表》。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8月10日前</w:t>
            </w:r>
          </w:p>
        </w:tc>
        <w:tc>
          <w:tcPr>
            <w:tcW w:w="6634" w:type="dxa"/>
            <w:tcBorders>
              <w:top w:val="single" w:color="auto" w:sz="4" w:space="0"/>
              <w:left w:val="nil"/>
              <w:bottom w:val="single" w:color="auto" w:sz="4" w:space="0"/>
              <w:right w:val="single" w:color="auto" w:sz="4" w:space="0"/>
            </w:tcBorders>
            <w:vAlign w:val="center"/>
          </w:tcPr>
          <w:p>
            <w:pPr>
              <w:spacing w:line="280" w:lineRule="exact"/>
              <w:rPr>
                <w:rFonts w:ascii="仿宋_GB2312" w:hAnsi="宋体" w:eastAsia="仿宋_GB2312"/>
                <w:sz w:val="24"/>
              </w:rPr>
            </w:pPr>
            <w:r>
              <w:rPr>
                <w:rFonts w:hint="eastAsia" w:ascii="仿宋_GB2312" w:hAnsi="宋体" w:eastAsia="仿宋_GB2312"/>
                <w:sz w:val="24"/>
              </w:rPr>
              <w:t>省考办完成初级资格无纸化考试网上编排考场工作并公布本地区初级资格考试准考证网上打印起止日期（2020年8月12日0:00至8月27日23:59）；中、高级资格考试准考证网上打印起止日期（2020年8月20日0:00至9月3日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8月6日前</w:t>
            </w:r>
          </w:p>
        </w:tc>
        <w:tc>
          <w:tcPr>
            <w:tcW w:w="6634" w:type="dxa"/>
            <w:tcBorders>
              <w:top w:val="single" w:color="auto" w:sz="4" w:space="0"/>
              <w:left w:val="nil"/>
              <w:bottom w:val="single" w:color="auto" w:sz="4" w:space="0"/>
              <w:right w:val="single" w:color="auto" w:sz="4" w:space="0"/>
            </w:tcBorders>
            <w:vAlign w:val="center"/>
          </w:tcPr>
          <w:p>
            <w:pPr>
              <w:spacing w:line="280" w:lineRule="exact"/>
              <w:rPr>
                <w:rFonts w:ascii="仿宋_GB2312" w:hAnsi="宋体" w:eastAsia="仿宋_GB2312"/>
                <w:color w:val="000000"/>
                <w:sz w:val="24"/>
              </w:rPr>
            </w:pPr>
            <w:r>
              <w:rPr>
                <w:rFonts w:hint="eastAsia" w:ascii="仿宋_GB2312" w:hAnsi="宋体" w:eastAsia="仿宋_GB2312"/>
                <w:sz w:val="24"/>
              </w:rPr>
              <w:t>1.</w:t>
            </w:r>
            <w:r>
              <w:rPr>
                <w:rFonts w:hint="eastAsia" w:ascii="仿宋_GB2312" w:hAnsi="宋体" w:eastAsia="仿宋_GB2312"/>
                <w:color w:val="000000"/>
                <w:sz w:val="24"/>
              </w:rPr>
              <w:t>省、市考办公布会计专业技术资格无纸化考试操作说明、答题演示、模拟答题系统。</w:t>
            </w:r>
          </w:p>
          <w:p>
            <w:pPr>
              <w:spacing w:line="280" w:lineRule="exact"/>
              <w:ind w:left="240" w:hanging="240" w:hangingChars="100"/>
              <w:rPr>
                <w:rFonts w:ascii="仿宋_GB2312" w:hAnsi="宋体" w:eastAsia="仿宋_GB2312"/>
                <w:color w:val="000000"/>
                <w:sz w:val="24"/>
              </w:rPr>
            </w:pPr>
            <w:r>
              <w:rPr>
                <w:rFonts w:hint="eastAsia" w:ascii="仿宋_GB2312" w:hAnsi="宋体" w:eastAsia="仿宋_GB2312"/>
                <w:color w:val="000000"/>
                <w:sz w:val="24"/>
              </w:rPr>
              <w:t>2.召开全省考务工作会。</w:t>
            </w:r>
          </w:p>
          <w:p>
            <w:pPr>
              <w:spacing w:line="280" w:lineRule="exact"/>
              <w:rPr>
                <w:rFonts w:ascii="仿宋_GB2312" w:hAnsi="宋体" w:eastAsia="仿宋_GB2312"/>
                <w:sz w:val="24"/>
              </w:rPr>
            </w:pPr>
            <w:r>
              <w:rPr>
                <w:rFonts w:hint="eastAsia" w:ascii="仿宋_GB2312" w:hAnsi="宋体" w:eastAsia="仿宋_GB2312"/>
                <w:color w:val="000000"/>
                <w:sz w:val="24"/>
              </w:rPr>
              <w:t>3.填写上报《2020年度全国会计专业技术资格无纸化考试视频监控情况统计表》(区分初级和中、高级，详见附件5)。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8月27日前</w:t>
            </w:r>
          </w:p>
        </w:tc>
        <w:tc>
          <w:tcPr>
            <w:tcW w:w="6634" w:type="dxa"/>
            <w:tcBorders>
              <w:top w:val="single" w:color="auto" w:sz="4" w:space="0"/>
              <w:left w:val="nil"/>
              <w:bottom w:val="single" w:color="auto" w:sz="4" w:space="0"/>
              <w:right w:val="single" w:color="auto" w:sz="4" w:space="0"/>
            </w:tcBorders>
            <w:vAlign w:val="center"/>
          </w:tcPr>
          <w:p>
            <w:pPr>
              <w:spacing w:line="280" w:lineRule="exact"/>
              <w:rPr>
                <w:rFonts w:ascii="仿宋_GB2312" w:hAnsi="宋体" w:eastAsia="仿宋_GB2312"/>
                <w:sz w:val="24"/>
              </w:rPr>
            </w:pPr>
            <w:r>
              <w:rPr>
                <w:rFonts w:hint="eastAsia" w:ascii="仿宋_GB2312" w:hAnsi="宋体" w:eastAsia="仿宋_GB2312"/>
                <w:sz w:val="24"/>
              </w:rPr>
              <w:t>1.市考办就初级资格无纸化考试进行考前联网模拟测试，包括接收试题、考生答题、考试数据回收的全过程压力测试。</w:t>
            </w:r>
          </w:p>
          <w:p>
            <w:pPr>
              <w:spacing w:line="280" w:lineRule="exact"/>
              <w:rPr>
                <w:rFonts w:ascii="仿宋_GB2312" w:hAnsi="宋体" w:eastAsia="仿宋_GB2312"/>
                <w:sz w:val="24"/>
              </w:rPr>
            </w:pPr>
            <w:r>
              <w:rPr>
                <w:rFonts w:hint="eastAsia" w:ascii="仿宋_GB2312" w:hAnsi="宋体" w:eastAsia="仿宋_GB2312"/>
                <w:sz w:val="24"/>
              </w:rPr>
              <w:t>2.市考办应完成对考务人员的培训、防范打击作弊、电力保障等各项考前准备工作。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8月28日前</w:t>
            </w:r>
          </w:p>
        </w:tc>
        <w:tc>
          <w:tcPr>
            <w:tcW w:w="6634" w:type="dxa"/>
            <w:tcBorders>
              <w:top w:val="single" w:color="auto" w:sz="4" w:space="0"/>
              <w:left w:val="nil"/>
              <w:bottom w:val="single" w:color="auto" w:sz="4" w:space="0"/>
              <w:right w:val="single" w:color="auto" w:sz="4" w:space="0"/>
            </w:tcBorders>
            <w:vAlign w:val="center"/>
          </w:tcPr>
          <w:p>
            <w:pPr>
              <w:spacing w:line="280" w:lineRule="exact"/>
              <w:rPr>
                <w:rFonts w:ascii="仿宋_GB2312" w:hAnsi="宋体" w:eastAsia="仿宋_GB2312"/>
                <w:sz w:val="24"/>
              </w:rPr>
            </w:pPr>
            <w:r>
              <w:rPr>
                <w:rFonts w:hint="eastAsia" w:ascii="仿宋_GB2312" w:hAnsi="宋体" w:eastAsia="仿宋_GB2312"/>
                <w:sz w:val="24"/>
              </w:rPr>
              <w:t>1.市考办完成考场、网络及软硬件环境测试、考试系统安装调试及考试参数设置检查等工作。</w:t>
            </w:r>
          </w:p>
          <w:p>
            <w:pPr>
              <w:spacing w:line="280" w:lineRule="exact"/>
              <w:ind w:left="240" w:hanging="240" w:hangingChars="100"/>
              <w:rPr>
                <w:rFonts w:ascii="仿宋_GB2312" w:hAnsi="宋体" w:eastAsia="仿宋_GB2312"/>
                <w:sz w:val="24"/>
              </w:rPr>
            </w:pPr>
            <w:r>
              <w:rPr>
                <w:rFonts w:hint="eastAsia" w:ascii="仿宋_GB2312" w:hAnsi="宋体" w:eastAsia="仿宋_GB2312"/>
                <w:sz w:val="24"/>
              </w:rPr>
              <w:t>2.市考办完成对考场（点）的布置及检查封场工作。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93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sz w:val="24"/>
              </w:rPr>
            </w:pPr>
            <w:r>
              <w:rPr>
                <w:rFonts w:hint="eastAsia" w:ascii="仿宋_GB2312" w:hAnsi="宋体" w:eastAsia="仿宋_GB2312"/>
                <w:sz w:val="24"/>
              </w:rPr>
              <w:t>8月29日至9月2日、9月9日至11日；9月5至9月7日</w:t>
            </w:r>
          </w:p>
        </w:tc>
        <w:tc>
          <w:tcPr>
            <w:tcW w:w="6634" w:type="dxa"/>
            <w:tcBorders>
              <w:top w:val="single" w:color="auto" w:sz="4" w:space="0"/>
              <w:left w:val="nil"/>
              <w:bottom w:val="single" w:color="auto" w:sz="4" w:space="0"/>
              <w:right w:val="single" w:color="auto" w:sz="4" w:space="0"/>
            </w:tcBorders>
            <w:vAlign w:val="center"/>
          </w:tcPr>
          <w:p>
            <w:pPr>
              <w:spacing w:line="260" w:lineRule="exact"/>
              <w:rPr>
                <w:rFonts w:ascii="仿宋_GB2312" w:hAnsi="宋体" w:eastAsia="仿宋_GB2312"/>
                <w:sz w:val="24"/>
              </w:rPr>
            </w:pPr>
            <w:r>
              <w:rPr>
                <w:rFonts w:hint="eastAsia" w:ascii="仿宋_GB2312" w:hAnsi="宋体" w:eastAsia="仿宋_GB2312"/>
                <w:sz w:val="24"/>
              </w:rPr>
              <w:t>分别组织初级和中、高级资格无纸化考试。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sz w:val="24"/>
              </w:rPr>
            </w:pPr>
            <w:r>
              <w:rPr>
                <w:rFonts w:hint="eastAsia" w:ascii="仿宋_GB2312" w:hAnsi="宋体" w:eastAsia="仿宋_GB2312"/>
                <w:color w:val="000000"/>
                <w:sz w:val="24"/>
              </w:rPr>
              <w:t>9月18日前</w:t>
            </w:r>
          </w:p>
        </w:tc>
        <w:tc>
          <w:tcPr>
            <w:tcW w:w="6634" w:type="dxa"/>
            <w:tcBorders>
              <w:top w:val="single" w:color="auto" w:sz="4" w:space="0"/>
              <w:left w:val="nil"/>
              <w:bottom w:val="single" w:color="auto" w:sz="4" w:space="0"/>
              <w:right w:val="single" w:color="auto" w:sz="4" w:space="0"/>
            </w:tcBorders>
            <w:vAlign w:val="center"/>
          </w:tcPr>
          <w:p>
            <w:pPr>
              <w:spacing w:line="280" w:lineRule="exact"/>
              <w:ind w:left="240" w:hanging="240" w:hangingChars="100"/>
              <w:jc w:val="left"/>
              <w:rPr>
                <w:rFonts w:ascii="仿宋_GB2312" w:hAnsi="宋体" w:eastAsia="仿宋_GB2312"/>
                <w:sz w:val="24"/>
              </w:rPr>
            </w:pPr>
            <w:r>
              <w:rPr>
                <w:rFonts w:hint="eastAsia" w:ascii="仿宋_GB2312" w:hAnsi="宋体" w:eastAsia="仿宋_GB2312"/>
                <w:sz w:val="24"/>
              </w:rPr>
              <w:t>省考办完成初级资格考试上报数据、《2020年度全国会计专业</w:t>
            </w:r>
          </w:p>
          <w:p>
            <w:pPr>
              <w:spacing w:line="280" w:lineRule="exact"/>
              <w:ind w:left="240" w:hanging="240" w:hangingChars="100"/>
              <w:jc w:val="left"/>
              <w:rPr>
                <w:rFonts w:ascii="仿宋_GB2312" w:hAnsi="宋体" w:eastAsia="仿宋_GB2312"/>
                <w:sz w:val="24"/>
              </w:rPr>
            </w:pPr>
            <w:r>
              <w:rPr>
                <w:rFonts w:hint="eastAsia" w:ascii="仿宋_GB2312" w:hAnsi="宋体" w:eastAsia="仿宋_GB2312"/>
                <w:sz w:val="24"/>
              </w:rPr>
              <w:t>技术资格无纸化考试上报数据统计汇总情况表》及《2020年</w:t>
            </w:r>
          </w:p>
          <w:p>
            <w:pPr>
              <w:spacing w:line="280" w:lineRule="exact"/>
              <w:ind w:left="220" w:hanging="220" w:hangingChars="100"/>
              <w:jc w:val="left"/>
              <w:rPr>
                <w:rFonts w:ascii="仿宋_GB2312" w:hAnsi="宋体" w:eastAsia="仿宋_GB2312"/>
                <w:color w:val="000000"/>
                <w:spacing w:val="-10"/>
                <w:sz w:val="24"/>
              </w:rPr>
            </w:pPr>
            <w:r>
              <w:rPr>
                <w:rFonts w:hint="eastAsia" w:ascii="仿宋_GB2312" w:hAnsi="宋体" w:eastAsia="仿宋_GB2312"/>
                <w:spacing w:val="-10"/>
                <w:sz w:val="24"/>
              </w:rPr>
              <w:t>度全国会计专业技术资格无纸化考试数据上报清单》等报送工作</w:t>
            </w:r>
            <w:r>
              <w:rPr>
                <w:rFonts w:hint="eastAsia" w:ascii="仿宋_GB2312" w:hAnsi="宋体" w:eastAsia="仿宋_GB2312"/>
                <w:color w:val="000000"/>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9月30日起</w:t>
            </w:r>
          </w:p>
        </w:tc>
        <w:tc>
          <w:tcPr>
            <w:tcW w:w="6634" w:type="dxa"/>
            <w:tcBorders>
              <w:top w:val="single" w:color="auto" w:sz="4" w:space="0"/>
              <w:left w:val="nil"/>
              <w:bottom w:val="single" w:color="auto" w:sz="4" w:space="0"/>
              <w:right w:val="single" w:color="auto" w:sz="4" w:space="0"/>
            </w:tcBorders>
            <w:vAlign w:val="center"/>
          </w:tcPr>
          <w:p>
            <w:pPr>
              <w:spacing w:line="280" w:lineRule="exact"/>
              <w:rPr>
                <w:rFonts w:ascii="仿宋_GB2312" w:hAnsi="宋体" w:eastAsia="仿宋_GB2312"/>
                <w:color w:val="000000"/>
                <w:sz w:val="24"/>
              </w:rPr>
            </w:pPr>
            <w:r>
              <w:rPr>
                <w:rFonts w:hint="eastAsia" w:ascii="仿宋_GB2312" w:hAnsi="宋体" w:eastAsia="仿宋_GB2312"/>
                <w:color w:val="000000"/>
                <w:sz w:val="24"/>
              </w:rPr>
              <w:t>1.</w:t>
            </w:r>
            <w:r>
              <w:rPr>
                <w:rFonts w:hint="eastAsia" w:ascii="仿宋_GB2312" w:hAnsi="宋体" w:eastAsia="仿宋_GB2312"/>
                <w:sz w:val="24"/>
              </w:rPr>
              <w:t>省考办在全国考办公布初级资格无纸化考试成绩的同时，在“辽宁会计网”公布初级资格无纸化考试成绩。</w:t>
            </w:r>
          </w:p>
          <w:p>
            <w:pPr>
              <w:spacing w:line="280" w:lineRule="exact"/>
              <w:rPr>
                <w:rFonts w:ascii="仿宋_GB2312" w:hAnsi="宋体" w:eastAsia="仿宋_GB2312"/>
                <w:color w:val="000000"/>
                <w:sz w:val="24"/>
              </w:rPr>
            </w:pPr>
            <w:r>
              <w:rPr>
                <w:rFonts w:hint="eastAsia" w:ascii="仿宋_GB2312" w:hAnsi="宋体" w:eastAsia="仿宋_GB2312"/>
                <w:color w:val="000000"/>
                <w:sz w:val="24"/>
              </w:rPr>
              <w:t>2.省考办组织完成本地区中、高级资格考试评卷工作。</w:t>
            </w:r>
          </w:p>
          <w:p>
            <w:pPr>
              <w:spacing w:line="280" w:lineRule="exact"/>
              <w:rPr>
                <w:rFonts w:ascii="仿宋_GB2312" w:hAnsi="宋体" w:eastAsia="仿宋_GB2312"/>
                <w:color w:val="000000"/>
                <w:sz w:val="24"/>
              </w:rPr>
            </w:pPr>
            <w:r>
              <w:rPr>
                <w:rFonts w:hint="eastAsia" w:ascii="仿宋_GB2312" w:hAnsi="宋体" w:eastAsia="仿宋_GB2312"/>
                <w:color w:val="000000"/>
                <w:sz w:val="24"/>
              </w:rPr>
              <w:t>3.</w:t>
            </w:r>
            <w:r>
              <w:rPr>
                <w:rFonts w:hint="eastAsia" w:ascii="仿宋_GB2312" w:hAnsi="宋体" w:eastAsia="仿宋_GB2312"/>
                <w:sz w:val="24"/>
              </w:rPr>
              <w:t>省考办完成中、高级资格考试上报数据、《2020年度全国会计专业技术资格无纸化考试上报数据统计汇总情况表》及《2020年度全国会计专业技术资格无纸化考试数据上报清单》等报送工作</w:t>
            </w:r>
            <w:r>
              <w:rPr>
                <w:rFonts w:hint="eastAsia" w:ascii="仿宋_GB2312" w:hAnsi="宋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93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sz w:val="24"/>
              </w:rPr>
            </w:pPr>
            <w:r>
              <w:rPr>
                <w:rFonts w:hint="eastAsia" w:ascii="仿宋_GB2312" w:hAnsi="宋体" w:eastAsia="仿宋_GB2312"/>
                <w:sz w:val="24"/>
              </w:rPr>
              <w:t>10月17日前</w:t>
            </w:r>
          </w:p>
        </w:tc>
        <w:tc>
          <w:tcPr>
            <w:tcW w:w="6634" w:type="dxa"/>
            <w:tcBorders>
              <w:top w:val="single" w:color="auto" w:sz="4" w:space="0"/>
              <w:left w:val="nil"/>
              <w:bottom w:val="single" w:color="auto" w:sz="4" w:space="0"/>
              <w:right w:val="single" w:color="auto" w:sz="4" w:space="0"/>
            </w:tcBorders>
            <w:vAlign w:val="center"/>
          </w:tcPr>
          <w:p>
            <w:pPr>
              <w:spacing w:line="260" w:lineRule="exact"/>
            </w:pPr>
            <w:r>
              <w:rPr>
                <w:rFonts w:hint="eastAsia" w:ascii="仿宋_GB2312" w:hAnsi="宋体" w:eastAsia="仿宋_GB2312"/>
                <w:sz w:val="24"/>
              </w:rPr>
              <w:t>省考办在全国考办公布中、高级资格无纸化考试成绩的同时，在“辽宁会计网”公布中、高级资格无纸化考试成绩。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FF0000"/>
                <w:sz w:val="24"/>
              </w:rPr>
            </w:pPr>
            <w:r>
              <w:rPr>
                <w:rFonts w:hint="eastAsia" w:ascii="仿宋_GB2312" w:hAnsi="宋体" w:eastAsia="仿宋_GB2312"/>
                <w:sz w:val="24"/>
              </w:rPr>
              <w:t>10月28日前</w:t>
            </w:r>
          </w:p>
        </w:tc>
        <w:tc>
          <w:tcPr>
            <w:tcW w:w="6634" w:type="dxa"/>
            <w:tcBorders>
              <w:top w:val="single" w:color="auto" w:sz="4" w:space="0"/>
              <w:left w:val="nil"/>
              <w:bottom w:val="single" w:color="auto" w:sz="4" w:space="0"/>
              <w:right w:val="single" w:color="auto" w:sz="4" w:space="0"/>
            </w:tcBorders>
            <w:vAlign w:val="center"/>
          </w:tcPr>
          <w:p>
            <w:pPr>
              <w:spacing w:line="280" w:lineRule="exact"/>
              <w:ind w:left="240" w:hanging="240" w:hangingChars="100"/>
              <w:rPr>
                <w:rFonts w:ascii="仿宋_GB2312" w:hAnsi="宋体" w:eastAsia="仿宋_GB2312"/>
                <w:color w:val="FF0000"/>
                <w:sz w:val="24"/>
              </w:rPr>
            </w:pPr>
            <w:r>
              <w:rPr>
                <w:rFonts w:hint="eastAsia" w:ascii="仿宋_GB2312" w:hAnsi="宋体" w:eastAsia="仿宋_GB2312"/>
                <w:sz w:val="24"/>
              </w:rPr>
              <w:t>市考办复核并报送本地区初级考试合格人员信息。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3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11月15日前</w:t>
            </w:r>
          </w:p>
        </w:tc>
        <w:tc>
          <w:tcPr>
            <w:tcW w:w="6634" w:type="dxa"/>
            <w:tcBorders>
              <w:top w:val="single" w:color="auto" w:sz="4" w:space="0"/>
              <w:left w:val="nil"/>
              <w:bottom w:val="single" w:color="auto" w:sz="4" w:space="0"/>
              <w:right w:val="single" w:color="auto" w:sz="4" w:space="0"/>
            </w:tcBorders>
            <w:vAlign w:val="center"/>
          </w:tcPr>
          <w:p>
            <w:pPr>
              <w:spacing w:line="280" w:lineRule="exact"/>
              <w:ind w:left="240" w:hanging="240" w:hangingChars="100"/>
              <w:rPr>
                <w:rFonts w:ascii="仿宋_GB2312" w:hAnsi="宋体" w:eastAsia="仿宋_GB2312"/>
                <w:sz w:val="24"/>
              </w:rPr>
            </w:pPr>
            <w:r>
              <w:rPr>
                <w:rFonts w:hint="eastAsia" w:ascii="仿宋_GB2312" w:hAnsi="宋体" w:eastAsia="仿宋_GB2312"/>
                <w:sz w:val="24"/>
              </w:rPr>
              <w:t>市考办复核并报送本地区中、高级考试合格人员信息。</w:t>
            </w:r>
          </w:p>
        </w:tc>
      </w:tr>
    </w:tbl>
    <w:p>
      <w:pPr>
        <w:widowControl/>
        <w:jc w:val="left"/>
        <w:rPr>
          <w:rFonts w:ascii="黑体" w:hAnsi="宋体" w:eastAsia="黑体" w:cs="宋体"/>
          <w:color w:val="000000"/>
          <w:kern w:val="0"/>
          <w:sz w:val="32"/>
          <w:szCs w:val="32"/>
        </w:rPr>
        <w:sectPr>
          <w:pgSz w:w="11906" w:h="16838"/>
          <w:pgMar w:top="1440" w:right="1800" w:bottom="1440" w:left="1800" w:header="720" w:footer="720" w:gutter="0"/>
          <w:cols w:space="720" w:num="1"/>
          <w:docGrid w:type="lines" w:linePitch="312" w:charSpace="0"/>
        </w:sectPr>
      </w:pPr>
    </w:p>
    <w:tbl>
      <w:tblPr>
        <w:tblStyle w:val="3"/>
        <w:tblW w:w="0" w:type="auto"/>
        <w:jc w:val="center"/>
        <w:tblLayout w:type="fixed"/>
        <w:tblCellMar>
          <w:top w:w="0" w:type="dxa"/>
          <w:left w:w="108" w:type="dxa"/>
          <w:bottom w:w="0" w:type="dxa"/>
          <w:right w:w="108" w:type="dxa"/>
        </w:tblCellMar>
      </w:tblPr>
      <w:tblGrid>
        <w:gridCol w:w="13786"/>
      </w:tblGrid>
      <w:tr>
        <w:tblPrEx>
          <w:tblCellMar>
            <w:top w:w="0" w:type="dxa"/>
            <w:left w:w="108" w:type="dxa"/>
            <w:bottom w:w="0" w:type="dxa"/>
            <w:right w:w="108" w:type="dxa"/>
          </w:tblCellMar>
        </w:tblPrEx>
        <w:trPr>
          <w:trHeight w:val="855" w:hRule="atLeast"/>
          <w:jc w:val="center"/>
        </w:trPr>
        <w:tc>
          <w:tcPr>
            <w:tcW w:w="13786" w:type="dxa"/>
            <w:vAlign w:val="center"/>
          </w:tcPr>
          <w:p>
            <w:pPr>
              <w:widowControl/>
              <w:jc w:val="left"/>
              <w:rPr>
                <w:rFonts w:ascii="黑体" w:eastAsia="黑体" w:cs="宋体"/>
                <w:color w:val="000000"/>
                <w:kern w:val="0"/>
                <w:sz w:val="32"/>
                <w:szCs w:val="32"/>
              </w:rPr>
            </w:pPr>
            <w:r>
              <w:rPr>
                <w:rFonts w:hint="eastAsia" w:ascii="黑体" w:eastAsia="黑体" w:cs="宋体"/>
                <w:color w:val="000000"/>
                <w:kern w:val="0"/>
                <w:sz w:val="32"/>
                <w:szCs w:val="32"/>
              </w:rPr>
              <w:t>附件4</w:t>
            </w:r>
          </w:p>
          <w:p>
            <w:pPr>
              <w:widowControl/>
              <w:spacing w:before="100" w:beforeAutospacing="1" w:after="100" w:afterAutospacing="1"/>
              <w:jc w:val="center"/>
              <w:rPr>
                <w:b/>
                <w:bCs/>
              </w:rPr>
            </w:pPr>
            <w:r>
              <w:rPr>
                <w:rFonts w:hint="eastAsia" w:ascii="宋体" w:hAnsi="宋体"/>
                <w:b/>
                <w:bCs/>
                <w:sz w:val="36"/>
                <w:szCs w:val="36"/>
              </w:rPr>
              <w:t>2020年度全国会计专业技术初级资格无纸化考试批次明细表</w:t>
            </w:r>
          </w:p>
          <w:tbl>
            <w:tblPr>
              <w:tblStyle w:val="3"/>
              <w:tblW w:w="0" w:type="auto"/>
              <w:tblInd w:w="113" w:type="dxa"/>
              <w:tblLayout w:type="fixed"/>
              <w:tblCellMar>
                <w:top w:w="0" w:type="dxa"/>
                <w:left w:w="108" w:type="dxa"/>
                <w:bottom w:w="0" w:type="dxa"/>
                <w:right w:w="108" w:type="dxa"/>
              </w:tblCellMar>
            </w:tblPr>
            <w:tblGrid>
              <w:gridCol w:w="2268"/>
              <w:gridCol w:w="1701"/>
              <w:gridCol w:w="1670"/>
              <w:gridCol w:w="1880"/>
              <w:gridCol w:w="1880"/>
              <w:gridCol w:w="1749"/>
              <w:gridCol w:w="2412"/>
            </w:tblGrid>
            <w:tr>
              <w:tblPrEx>
                <w:tblCellMar>
                  <w:top w:w="0" w:type="dxa"/>
                  <w:left w:w="108" w:type="dxa"/>
                  <w:bottom w:w="0" w:type="dxa"/>
                  <w:right w:w="108" w:type="dxa"/>
                </w:tblCellMar>
              </w:tblPrEx>
              <w:trPr>
                <w:trHeight w:val="983" w:hRule="atLeast"/>
              </w:trPr>
              <w:tc>
                <w:tcPr>
                  <w:tcW w:w="226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8"/>
                      <w:szCs w:val="28"/>
                    </w:rPr>
                  </w:pPr>
                  <w:r>
                    <w:rPr>
                      <w:rFonts w:hint="eastAsia" w:ascii="仿宋" w:hAnsi="仿宋" w:cs="宋体"/>
                      <w:color w:val="000000"/>
                      <w:kern w:val="0"/>
                      <w:sz w:val="28"/>
                      <w:szCs w:val="28"/>
                    </w:rPr>
                    <w:t>省（区、市）</w:t>
                  </w:r>
                </w:p>
              </w:tc>
              <w:tc>
                <w:tcPr>
                  <w:tcW w:w="1701"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8"/>
                      <w:szCs w:val="28"/>
                    </w:rPr>
                  </w:pPr>
                  <w:r>
                    <w:rPr>
                      <w:rFonts w:hint="eastAsia" w:ascii="仿宋" w:hAnsi="仿宋" w:cs="宋体"/>
                      <w:color w:val="000000"/>
                      <w:kern w:val="0"/>
                      <w:sz w:val="28"/>
                      <w:szCs w:val="28"/>
                    </w:rPr>
                    <w:t>地市</w:t>
                  </w:r>
                </w:p>
              </w:tc>
              <w:tc>
                <w:tcPr>
                  <w:tcW w:w="167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8"/>
                      <w:szCs w:val="28"/>
                    </w:rPr>
                  </w:pPr>
                  <w:r>
                    <w:rPr>
                      <w:rFonts w:hint="eastAsia" w:ascii="仿宋" w:hAnsi="仿宋" w:cs="宋体"/>
                      <w:color w:val="000000"/>
                      <w:kern w:val="0"/>
                      <w:sz w:val="28"/>
                      <w:szCs w:val="28"/>
                    </w:rPr>
                    <w:t>报名人数</w:t>
                  </w:r>
                </w:p>
              </w:tc>
              <w:tc>
                <w:tcPr>
                  <w:tcW w:w="188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8"/>
                      <w:szCs w:val="28"/>
                    </w:rPr>
                  </w:pPr>
                  <w:r>
                    <w:rPr>
                      <w:rFonts w:hint="eastAsia" w:ascii="仿宋" w:hAnsi="仿宋" w:cs="宋体"/>
                      <w:color w:val="000000"/>
                      <w:kern w:val="0"/>
                      <w:sz w:val="28"/>
                      <w:szCs w:val="28"/>
                    </w:rPr>
                    <w:t>考点名称</w:t>
                  </w:r>
                </w:p>
                <w:p>
                  <w:pPr>
                    <w:widowControl/>
                    <w:jc w:val="center"/>
                    <w:rPr>
                      <w:rFonts w:ascii="仿宋" w:hAnsi="仿宋" w:cs="宋体"/>
                      <w:color w:val="000000"/>
                      <w:kern w:val="0"/>
                      <w:sz w:val="28"/>
                      <w:szCs w:val="28"/>
                    </w:rPr>
                  </w:pPr>
                  <w:r>
                    <w:rPr>
                      <w:rFonts w:hint="eastAsia" w:ascii="仿宋" w:hAnsi="仿宋" w:cs="宋体"/>
                      <w:color w:val="000000"/>
                      <w:kern w:val="0"/>
                      <w:sz w:val="28"/>
                      <w:szCs w:val="28"/>
                    </w:rPr>
                    <w:t>和地址</w:t>
                  </w:r>
                </w:p>
              </w:tc>
              <w:tc>
                <w:tcPr>
                  <w:tcW w:w="188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8"/>
                      <w:szCs w:val="28"/>
                    </w:rPr>
                  </w:pPr>
                  <w:r>
                    <w:rPr>
                      <w:rFonts w:hint="eastAsia" w:ascii="仿宋" w:hAnsi="仿宋" w:cs="宋体"/>
                      <w:color w:val="000000"/>
                      <w:kern w:val="0"/>
                      <w:sz w:val="28"/>
                      <w:szCs w:val="28"/>
                    </w:rPr>
                    <w:t>考场名称</w:t>
                  </w:r>
                </w:p>
              </w:tc>
              <w:tc>
                <w:tcPr>
                  <w:tcW w:w="174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8"/>
                      <w:szCs w:val="28"/>
                    </w:rPr>
                  </w:pPr>
                  <w:r>
                    <w:rPr>
                      <w:rFonts w:hint="eastAsia" w:ascii="仿宋" w:hAnsi="仿宋" w:cs="宋体"/>
                      <w:color w:val="000000"/>
                      <w:kern w:val="0"/>
                      <w:sz w:val="28"/>
                      <w:szCs w:val="28"/>
                    </w:rPr>
                    <w:t>考试机数量</w:t>
                  </w:r>
                </w:p>
              </w:tc>
              <w:tc>
                <w:tcPr>
                  <w:tcW w:w="2412"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 w:hAnsi="仿宋" w:cs="宋体"/>
                      <w:color w:val="000000"/>
                      <w:kern w:val="0"/>
                      <w:sz w:val="28"/>
                      <w:szCs w:val="28"/>
                    </w:rPr>
                  </w:pPr>
                  <w:r>
                    <w:rPr>
                      <w:rFonts w:hint="eastAsia" w:ascii="仿宋" w:hAnsi="仿宋" w:cs="宋体"/>
                      <w:color w:val="000000"/>
                      <w:kern w:val="0"/>
                      <w:sz w:val="28"/>
                      <w:szCs w:val="28"/>
                    </w:rPr>
                    <w:t>计划考试批次</w:t>
                  </w:r>
                </w:p>
              </w:tc>
            </w:tr>
            <w:tr>
              <w:tblPrEx>
                <w:tblCellMar>
                  <w:top w:w="0" w:type="dxa"/>
                  <w:left w:w="108" w:type="dxa"/>
                  <w:bottom w:w="0" w:type="dxa"/>
                  <w:right w:w="108" w:type="dxa"/>
                </w:tblCellMar>
              </w:tblPrEx>
              <w:trPr>
                <w:trHeight w:val="405" w:hRule="atLeast"/>
              </w:trPr>
              <w:tc>
                <w:tcPr>
                  <w:tcW w:w="2268"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cs="宋体"/>
                      <w:color w:val="000000"/>
                      <w:kern w:val="0"/>
                      <w:sz w:val="32"/>
                      <w:szCs w:val="32"/>
                    </w:rPr>
                  </w:pPr>
                  <w:r>
                    <w:rPr>
                      <w:rFonts w:hint="eastAsia" w:ascii="仿宋" w:hAnsi="仿宋" w:cs="宋体"/>
                      <w:color w:val="000000"/>
                      <w:kern w:val="0"/>
                      <w:sz w:val="32"/>
                      <w:szCs w:val="32"/>
                    </w:rPr>
                    <w:t>　</w:t>
                  </w:r>
                </w:p>
              </w:tc>
              <w:tc>
                <w:tcPr>
                  <w:tcW w:w="1701" w:type="dxa"/>
                  <w:vMerge w:val="restart"/>
                  <w:tcBorders>
                    <w:top w:val="nil"/>
                    <w:left w:val="nil"/>
                    <w:bottom w:val="single" w:color="000000" w:sz="4" w:space="0"/>
                    <w:right w:val="single" w:color="auto" w:sz="4" w:space="0"/>
                  </w:tcBorders>
                  <w:vAlign w:val="center"/>
                </w:tcPr>
                <w:p>
                  <w:pPr>
                    <w:widowControl/>
                    <w:jc w:val="center"/>
                    <w:rPr>
                      <w:rFonts w:ascii="仿宋" w:hAnsi="仿宋" w:cs="宋体"/>
                      <w:color w:val="000000"/>
                      <w:kern w:val="0"/>
                      <w:sz w:val="32"/>
                      <w:szCs w:val="32"/>
                    </w:rPr>
                  </w:pPr>
                  <w:r>
                    <w:rPr>
                      <w:rFonts w:hint="eastAsia" w:ascii="仿宋" w:hAnsi="仿宋" w:cs="宋体"/>
                      <w:color w:val="000000"/>
                      <w:kern w:val="0"/>
                      <w:sz w:val="32"/>
                      <w:szCs w:val="32"/>
                    </w:rPr>
                    <w:t>　</w:t>
                  </w:r>
                </w:p>
              </w:tc>
              <w:tc>
                <w:tcPr>
                  <w:tcW w:w="1670" w:type="dxa"/>
                  <w:vMerge w:val="restart"/>
                  <w:tcBorders>
                    <w:top w:val="nil"/>
                    <w:left w:val="nil"/>
                    <w:bottom w:val="single" w:color="000000" w:sz="4" w:space="0"/>
                    <w:right w:val="single" w:color="auto" w:sz="4" w:space="0"/>
                  </w:tcBorders>
                  <w:vAlign w:val="center"/>
                </w:tcPr>
                <w:p>
                  <w:pPr>
                    <w:widowControl/>
                    <w:jc w:val="center"/>
                    <w:rPr>
                      <w:rFonts w:ascii="仿宋" w:hAnsi="仿宋" w:cs="宋体"/>
                      <w:color w:val="000000"/>
                      <w:kern w:val="0"/>
                      <w:sz w:val="32"/>
                      <w:szCs w:val="32"/>
                    </w:rPr>
                  </w:pPr>
                  <w:r>
                    <w:rPr>
                      <w:rFonts w:hint="eastAsia" w:ascii="仿宋" w:hAnsi="仿宋" w:cs="宋体"/>
                      <w:color w:val="000000"/>
                      <w:kern w:val="0"/>
                      <w:sz w:val="32"/>
                      <w:szCs w:val="32"/>
                    </w:rPr>
                    <w:t>　</w:t>
                  </w:r>
                </w:p>
              </w:tc>
              <w:tc>
                <w:tcPr>
                  <w:tcW w:w="1880" w:type="dxa"/>
                  <w:vMerge w:val="restart"/>
                  <w:tcBorders>
                    <w:top w:val="nil"/>
                    <w:left w:val="nil"/>
                    <w:bottom w:val="single" w:color="000000" w:sz="4" w:space="0"/>
                    <w:right w:val="single" w:color="auto" w:sz="4" w:space="0"/>
                  </w:tcBorders>
                  <w:vAlign w:val="center"/>
                </w:tcPr>
                <w:p>
                  <w:pPr>
                    <w:widowControl/>
                    <w:jc w:val="center"/>
                    <w:rPr>
                      <w:rFonts w:ascii="仿宋" w:hAnsi="仿宋" w:cs="宋体"/>
                      <w:color w:val="000000"/>
                      <w:kern w:val="0"/>
                      <w:sz w:val="32"/>
                      <w:szCs w:val="32"/>
                    </w:rPr>
                  </w:pPr>
                  <w:r>
                    <w:rPr>
                      <w:rFonts w:hint="eastAsia" w:ascii="仿宋" w:hAnsi="仿宋" w:cs="宋体"/>
                      <w:color w:val="000000"/>
                      <w:kern w:val="0"/>
                      <w:sz w:val="32"/>
                      <w:szCs w:val="32"/>
                    </w:rPr>
                    <w:t>　</w:t>
                  </w: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749"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2412"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r>
            <w:tr>
              <w:tblPrEx>
                <w:tblCellMar>
                  <w:top w:w="0" w:type="dxa"/>
                  <w:left w:w="108" w:type="dxa"/>
                  <w:bottom w:w="0" w:type="dxa"/>
                  <w:right w:w="108" w:type="dxa"/>
                </w:tblCellMar>
              </w:tblPrEx>
              <w:trPr>
                <w:trHeight w:val="405" w:hRule="atLeast"/>
              </w:trPr>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701"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670"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880"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749"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2412"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r>
            <w:tr>
              <w:tblPrEx>
                <w:tblCellMar>
                  <w:top w:w="0" w:type="dxa"/>
                  <w:left w:w="108" w:type="dxa"/>
                  <w:bottom w:w="0" w:type="dxa"/>
                  <w:right w:w="108" w:type="dxa"/>
                </w:tblCellMar>
              </w:tblPrEx>
              <w:trPr>
                <w:trHeight w:val="405" w:hRule="atLeast"/>
              </w:trPr>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701"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670"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749"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2412"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r>
            <w:tr>
              <w:tblPrEx>
                <w:tblCellMar>
                  <w:top w:w="0" w:type="dxa"/>
                  <w:left w:w="108" w:type="dxa"/>
                  <w:bottom w:w="0" w:type="dxa"/>
                  <w:right w:w="108" w:type="dxa"/>
                </w:tblCellMar>
              </w:tblPrEx>
              <w:trPr>
                <w:trHeight w:val="405" w:hRule="atLeast"/>
              </w:trPr>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701" w:type="dxa"/>
                  <w:vMerge w:val="restart"/>
                  <w:tcBorders>
                    <w:top w:val="nil"/>
                    <w:left w:val="nil"/>
                    <w:bottom w:val="single" w:color="000000" w:sz="4" w:space="0"/>
                    <w:right w:val="single" w:color="auto" w:sz="4" w:space="0"/>
                  </w:tcBorders>
                  <w:vAlign w:val="center"/>
                </w:tcPr>
                <w:p>
                  <w:pPr>
                    <w:widowControl/>
                    <w:jc w:val="center"/>
                    <w:rPr>
                      <w:rFonts w:ascii="仿宋" w:hAnsi="仿宋" w:cs="宋体"/>
                      <w:color w:val="000000"/>
                      <w:kern w:val="0"/>
                      <w:sz w:val="32"/>
                      <w:szCs w:val="32"/>
                    </w:rPr>
                  </w:pPr>
                  <w:r>
                    <w:rPr>
                      <w:rFonts w:hint="eastAsia" w:ascii="仿宋" w:hAnsi="仿宋" w:cs="宋体"/>
                      <w:color w:val="000000"/>
                      <w:kern w:val="0"/>
                      <w:sz w:val="32"/>
                      <w:szCs w:val="32"/>
                    </w:rPr>
                    <w:t>　</w:t>
                  </w:r>
                </w:p>
              </w:tc>
              <w:tc>
                <w:tcPr>
                  <w:tcW w:w="1670" w:type="dxa"/>
                  <w:vMerge w:val="restart"/>
                  <w:tcBorders>
                    <w:top w:val="nil"/>
                    <w:left w:val="nil"/>
                    <w:bottom w:val="single" w:color="000000" w:sz="4" w:space="0"/>
                    <w:right w:val="single" w:color="auto" w:sz="4" w:space="0"/>
                  </w:tcBorders>
                  <w:vAlign w:val="center"/>
                </w:tcPr>
                <w:p>
                  <w:pPr>
                    <w:widowControl/>
                    <w:jc w:val="center"/>
                    <w:rPr>
                      <w:rFonts w:ascii="仿宋" w:hAnsi="仿宋" w:cs="宋体"/>
                      <w:color w:val="000000"/>
                      <w:kern w:val="0"/>
                      <w:sz w:val="32"/>
                      <w:szCs w:val="32"/>
                    </w:rPr>
                  </w:pPr>
                  <w:r>
                    <w:rPr>
                      <w:rFonts w:hint="eastAsia" w:ascii="仿宋" w:hAnsi="仿宋" w:cs="宋体"/>
                      <w:color w:val="000000"/>
                      <w:kern w:val="0"/>
                      <w:sz w:val="32"/>
                      <w:szCs w:val="32"/>
                    </w:rPr>
                    <w:t>　</w:t>
                  </w:r>
                </w:p>
              </w:tc>
              <w:tc>
                <w:tcPr>
                  <w:tcW w:w="1880" w:type="dxa"/>
                  <w:vMerge w:val="restart"/>
                  <w:tcBorders>
                    <w:top w:val="nil"/>
                    <w:left w:val="nil"/>
                    <w:bottom w:val="single" w:color="000000" w:sz="4" w:space="0"/>
                    <w:right w:val="single" w:color="auto" w:sz="4" w:space="0"/>
                  </w:tcBorders>
                  <w:vAlign w:val="center"/>
                </w:tcPr>
                <w:p>
                  <w:pPr>
                    <w:widowControl/>
                    <w:jc w:val="center"/>
                    <w:rPr>
                      <w:rFonts w:ascii="仿宋" w:hAnsi="仿宋" w:cs="宋体"/>
                      <w:color w:val="000000"/>
                      <w:kern w:val="0"/>
                      <w:sz w:val="32"/>
                      <w:szCs w:val="32"/>
                    </w:rPr>
                  </w:pPr>
                  <w:r>
                    <w:rPr>
                      <w:rFonts w:hint="eastAsia" w:ascii="仿宋" w:hAnsi="仿宋" w:cs="宋体"/>
                      <w:color w:val="000000"/>
                      <w:kern w:val="0"/>
                      <w:sz w:val="32"/>
                      <w:szCs w:val="32"/>
                    </w:rPr>
                    <w:t>　</w:t>
                  </w: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749"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2412"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r>
            <w:tr>
              <w:tblPrEx>
                <w:tblCellMar>
                  <w:top w:w="0" w:type="dxa"/>
                  <w:left w:w="108" w:type="dxa"/>
                  <w:bottom w:w="0" w:type="dxa"/>
                  <w:right w:w="108" w:type="dxa"/>
                </w:tblCellMar>
              </w:tblPrEx>
              <w:trPr>
                <w:trHeight w:val="405" w:hRule="atLeast"/>
              </w:trPr>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701"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670"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880"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749"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2412"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r>
            <w:tr>
              <w:tblPrEx>
                <w:tblCellMar>
                  <w:top w:w="0" w:type="dxa"/>
                  <w:left w:w="108" w:type="dxa"/>
                  <w:bottom w:w="0" w:type="dxa"/>
                  <w:right w:w="108" w:type="dxa"/>
                </w:tblCellMar>
              </w:tblPrEx>
              <w:trPr>
                <w:trHeight w:val="405" w:hRule="atLeast"/>
              </w:trPr>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701"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670"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880" w:type="dxa"/>
                  <w:vMerge w:val="restart"/>
                  <w:tcBorders>
                    <w:top w:val="nil"/>
                    <w:left w:val="nil"/>
                    <w:bottom w:val="single" w:color="000000" w:sz="4" w:space="0"/>
                    <w:right w:val="single" w:color="auto" w:sz="4" w:space="0"/>
                  </w:tcBorders>
                  <w:vAlign w:val="center"/>
                </w:tcPr>
                <w:p>
                  <w:pPr>
                    <w:widowControl/>
                    <w:jc w:val="center"/>
                    <w:rPr>
                      <w:rFonts w:ascii="仿宋" w:hAnsi="仿宋" w:cs="宋体"/>
                      <w:color w:val="000000"/>
                      <w:kern w:val="0"/>
                      <w:sz w:val="32"/>
                      <w:szCs w:val="32"/>
                    </w:rPr>
                  </w:pPr>
                  <w:r>
                    <w:rPr>
                      <w:rFonts w:hint="eastAsia" w:ascii="仿宋" w:hAnsi="仿宋" w:cs="宋体"/>
                      <w:color w:val="000000"/>
                      <w:kern w:val="0"/>
                      <w:sz w:val="32"/>
                      <w:szCs w:val="32"/>
                    </w:rPr>
                    <w:t>　</w:t>
                  </w: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749"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2412"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r>
            <w:tr>
              <w:tblPrEx>
                <w:tblCellMar>
                  <w:top w:w="0" w:type="dxa"/>
                  <w:left w:w="108" w:type="dxa"/>
                  <w:bottom w:w="0" w:type="dxa"/>
                  <w:right w:w="108" w:type="dxa"/>
                </w:tblCellMar>
              </w:tblPrEx>
              <w:trPr>
                <w:trHeight w:val="405" w:hRule="atLeast"/>
              </w:trPr>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701"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670"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880" w:type="dxa"/>
                  <w:vMerge w:val="continue"/>
                  <w:tcBorders>
                    <w:top w:val="nil"/>
                    <w:left w:val="nil"/>
                    <w:bottom w:val="single" w:color="000000" w:sz="4" w:space="0"/>
                    <w:right w:val="single" w:color="auto" w:sz="4" w:space="0"/>
                  </w:tcBorders>
                  <w:vAlign w:val="center"/>
                </w:tcPr>
                <w:p>
                  <w:pPr>
                    <w:widowControl/>
                    <w:jc w:val="left"/>
                    <w:rPr>
                      <w:rFonts w:ascii="仿宋" w:hAnsi="仿宋" w:cs="宋体"/>
                      <w:color w:val="000000"/>
                      <w:kern w:val="0"/>
                      <w:sz w:val="32"/>
                      <w:szCs w:val="32"/>
                    </w:rPr>
                  </w:pP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749"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2412"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r>
            <w:tr>
              <w:tblPrEx>
                <w:tblCellMar>
                  <w:top w:w="0" w:type="dxa"/>
                  <w:left w:w="108" w:type="dxa"/>
                  <w:bottom w:w="0" w:type="dxa"/>
                  <w:right w:w="108" w:type="dxa"/>
                </w:tblCellMar>
              </w:tblPrEx>
              <w:trPr>
                <w:trHeight w:val="480" w:hRule="atLeast"/>
              </w:trPr>
              <w:tc>
                <w:tcPr>
                  <w:tcW w:w="2268" w:type="dxa"/>
                  <w:tcBorders>
                    <w:top w:val="nil"/>
                    <w:left w:val="single" w:color="auto" w:sz="4" w:space="0"/>
                    <w:bottom w:val="single" w:color="auto" w:sz="4" w:space="0"/>
                    <w:right w:val="single" w:color="auto" w:sz="4" w:space="0"/>
                  </w:tcBorders>
                  <w:vAlign w:val="center"/>
                </w:tcPr>
                <w:p>
                  <w:pPr>
                    <w:widowControl/>
                    <w:jc w:val="center"/>
                    <w:rPr>
                      <w:rFonts w:ascii="仿宋" w:hAnsi="仿宋" w:cs="宋体"/>
                      <w:color w:val="000000"/>
                      <w:kern w:val="0"/>
                      <w:sz w:val="32"/>
                      <w:szCs w:val="32"/>
                    </w:rPr>
                  </w:pPr>
                  <w:r>
                    <w:rPr>
                      <w:rFonts w:hint="eastAsia" w:ascii="仿宋" w:hAnsi="仿宋" w:cs="宋体"/>
                      <w:color w:val="000000"/>
                      <w:kern w:val="0"/>
                      <w:sz w:val="32"/>
                      <w:szCs w:val="32"/>
                    </w:rPr>
                    <w:t>合计</w:t>
                  </w:r>
                </w:p>
              </w:tc>
              <w:tc>
                <w:tcPr>
                  <w:tcW w:w="1701"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67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880"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1749"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c>
                <w:tcPr>
                  <w:tcW w:w="2412" w:type="dxa"/>
                  <w:tcBorders>
                    <w:top w:val="nil"/>
                    <w:left w:val="nil"/>
                    <w:bottom w:val="single" w:color="auto" w:sz="4" w:space="0"/>
                    <w:right w:val="single" w:color="auto" w:sz="4" w:space="0"/>
                  </w:tcBorders>
                  <w:vAlign w:val="center"/>
                </w:tcPr>
                <w:p>
                  <w:pPr>
                    <w:widowControl/>
                    <w:jc w:val="left"/>
                    <w:rPr>
                      <w:rFonts w:ascii="仿宋" w:hAnsi="仿宋" w:cs="宋体"/>
                      <w:color w:val="000000"/>
                      <w:kern w:val="0"/>
                      <w:sz w:val="32"/>
                      <w:szCs w:val="32"/>
                    </w:rPr>
                  </w:pPr>
                  <w:r>
                    <w:rPr>
                      <w:rFonts w:hint="eastAsia" w:ascii="仿宋" w:hAnsi="仿宋" w:cs="宋体"/>
                      <w:color w:val="000000"/>
                      <w:kern w:val="0"/>
                      <w:sz w:val="32"/>
                      <w:szCs w:val="32"/>
                    </w:rPr>
                    <w:t>　</w:t>
                  </w:r>
                </w:p>
              </w:tc>
            </w:tr>
          </w:tbl>
          <w:p>
            <w:pPr>
              <w:widowControl/>
              <w:rPr>
                <w:rFonts w:ascii="宋体" w:hAnsi="宋体"/>
                <w:b/>
                <w:bCs/>
                <w:color w:val="000000"/>
                <w:kern w:val="0"/>
                <w:sz w:val="36"/>
                <w:szCs w:val="36"/>
              </w:rPr>
            </w:pPr>
          </w:p>
        </w:tc>
      </w:tr>
    </w:tbl>
    <w:p>
      <w:pPr>
        <w:rPr>
          <w:rFonts w:ascii="黑体" w:eastAsia="黑体" w:cs="宋体"/>
          <w:color w:val="000000"/>
          <w:kern w:val="0"/>
          <w:sz w:val="32"/>
          <w:szCs w:val="32"/>
        </w:rPr>
      </w:pPr>
    </w:p>
    <w:p>
      <w:pPr>
        <w:rPr>
          <w:rFonts w:ascii="黑体" w:eastAsia="黑体" w:cs="宋体"/>
          <w:color w:val="000000"/>
          <w:kern w:val="0"/>
          <w:sz w:val="32"/>
          <w:szCs w:val="32"/>
        </w:rPr>
      </w:pPr>
      <w:r>
        <w:rPr>
          <w:rFonts w:hint="eastAsia" w:ascii="黑体" w:eastAsia="黑体" w:cs="宋体"/>
          <w:color w:val="000000"/>
          <w:kern w:val="0"/>
          <w:sz w:val="32"/>
          <w:szCs w:val="32"/>
        </w:rPr>
        <w:t xml:space="preserve">附件5 </w:t>
      </w:r>
    </w:p>
    <w:p>
      <w:pPr>
        <w:widowControl/>
        <w:jc w:val="center"/>
        <w:rPr>
          <w:rFonts w:ascii="宋体" w:hAnsi="宋体"/>
          <w:b/>
          <w:bCs/>
          <w:color w:val="000000"/>
          <w:kern w:val="0"/>
          <w:sz w:val="36"/>
          <w:szCs w:val="36"/>
        </w:rPr>
      </w:pPr>
      <w:r>
        <w:rPr>
          <w:rFonts w:hint="eastAsia" w:ascii="宋体" w:hAnsi="宋体"/>
          <w:b/>
          <w:bCs/>
          <w:color w:val="000000"/>
          <w:kern w:val="0"/>
          <w:sz w:val="36"/>
          <w:szCs w:val="36"/>
        </w:rPr>
        <w:t>2020年度全国会计专业技术资格无纸化考试视频监控情况统计表</w:t>
      </w:r>
    </w:p>
    <w:p>
      <w:pPr>
        <w:rPr>
          <w:rFonts w:ascii="宋体" w:hAnsi="宋体"/>
          <w:b/>
          <w:bCs/>
          <w:color w:val="000000"/>
          <w:kern w:val="0"/>
          <w:sz w:val="32"/>
          <w:szCs w:val="32"/>
        </w:rPr>
      </w:pPr>
    </w:p>
    <w:p>
      <w:pPr>
        <w:ind w:firstLine="321" w:firstLineChars="100"/>
        <w:rPr>
          <w:rFonts w:ascii="宋体" w:hAnsi="宋体"/>
          <w:b/>
          <w:bCs/>
          <w:color w:val="000000"/>
          <w:kern w:val="0"/>
          <w:sz w:val="32"/>
          <w:szCs w:val="32"/>
        </w:rPr>
      </w:pPr>
      <w:r>
        <w:rPr>
          <w:rFonts w:hint="eastAsia" w:ascii="宋体" w:hAnsi="宋体"/>
          <w:b/>
          <w:bCs/>
          <w:color w:val="000000"/>
          <w:kern w:val="0"/>
          <w:sz w:val="32"/>
          <w:szCs w:val="32"/>
        </w:rPr>
        <w:t>____市：</w:t>
      </w:r>
    </w:p>
    <w:p>
      <w:pPr>
        <w:rPr>
          <w:rFonts w:ascii="仿宋" w:hAnsi="仿宋" w:cs="宋体"/>
          <w:color w:val="000000"/>
          <w:kern w:val="0"/>
          <w:sz w:val="10"/>
          <w:szCs w:val="1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551"/>
        <w:gridCol w:w="2507"/>
        <w:gridCol w:w="316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宋体"/>
                <w:color w:val="000000"/>
                <w:kern w:val="0"/>
                <w:sz w:val="32"/>
                <w:szCs w:val="32"/>
              </w:rPr>
            </w:pPr>
            <w:r>
              <w:rPr>
                <w:rFonts w:hint="eastAsia" w:ascii="仿宋" w:hAnsi="仿宋" w:cs="宋体"/>
                <w:color w:val="000000"/>
                <w:kern w:val="0"/>
                <w:sz w:val="32"/>
                <w:szCs w:val="32"/>
              </w:rPr>
              <w:t>单批次</w:t>
            </w:r>
          </w:p>
          <w:p>
            <w:pPr>
              <w:jc w:val="center"/>
              <w:rPr>
                <w:rFonts w:ascii="仿宋" w:hAnsi="仿宋" w:cs="宋体"/>
                <w:color w:val="000000"/>
                <w:kern w:val="0"/>
                <w:sz w:val="32"/>
                <w:szCs w:val="32"/>
              </w:rPr>
            </w:pPr>
            <w:r>
              <w:rPr>
                <w:rFonts w:hint="eastAsia" w:ascii="仿宋" w:hAnsi="仿宋" w:cs="宋体"/>
                <w:color w:val="000000"/>
                <w:kern w:val="0"/>
                <w:sz w:val="32"/>
                <w:szCs w:val="32"/>
              </w:rPr>
              <w:t>总考场数</w:t>
            </w:r>
          </w:p>
        </w:tc>
        <w:tc>
          <w:tcPr>
            <w:tcW w:w="2551" w:type="dxa"/>
            <w:tcBorders>
              <w:top w:val="single" w:color="auto" w:sz="4" w:space="0"/>
              <w:left w:val="nil"/>
              <w:bottom w:val="single" w:color="auto" w:sz="4" w:space="0"/>
              <w:right w:val="single" w:color="auto" w:sz="4" w:space="0"/>
            </w:tcBorders>
            <w:vAlign w:val="center"/>
          </w:tcPr>
          <w:p>
            <w:pPr>
              <w:jc w:val="center"/>
              <w:rPr>
                <w:rFonts w:ascii="仿宋" w:hAnsi="仿宋" w:cs="宋体"/>
                <w:color w:val="000000"/>
                <w:kern w:val="0"/>
                <w:sz w:val="32"/>
                <w:szCs w:val="32"/>
              </w:rPr>
            </w:pPr>
            <w:r>
              <w:rPr>
                <w:rFonts w:hint="eastAsia" w:ascii="仿宋" w:hAnsi="仿宋" w:cs="宋体"/>
                <w:color w:val="000000"/>
                <w:kern w:val="0"/>
                <w:sz w:val="32"/>
                <w:szCs w:val="32"/>
              </w:rPr>
              <w:t>配备固定监控设备的考场数</w:t>
            </w:r>
          </w:p>
        </w:tc>
        <w:tc>
          <w:tcPr>
            <w:tcW w:w="2507" w:type="dxa"/>
            <w:tcBorders>
              <w:top w:val="single" w:color="auto" w:sz="4" w:space="0"/>
              <w:left w:val="nil"/>
              <w:bottom w:val="single" w:color="auto" w:sz="4" w:space="0"/>
              <w:right w:val="single" w:color="auto" w:sz="4" w:space="0"/>
            </w:tcBorders>
            <w:vAlign w:val="center"/>
          </w:tcPr>
          <w:p>
            <w:pPr>
              <w:jc w:val="center"/>
              <w:rPr>
                <w:rFonts w:ascii="仿宋" w:hAnsi="仿宋" w:cs="宋体"/>
                <w:color w:val="000000"/>
                <w:kern w:val="0"/>
                <w:sz w:val="32"/>
                <w:szCs w:val="32"/>
              </w:rPr>
            </w:pPr>
            <w:r>
              <w:rPr>
                <w:rFonts w:hint="eastAsia" w:ascii="仿宋" w:hAnsi="仿宋" w:cs="宋体"/>
                <w:color w:val="000000"/>
                <w:kern w:val="0"/>
                <w:sz w:val="32"/>
                <w:szCs w:val="32"/>
              </w:rPr>
              <w:t>配备临时监控设备的考场数</w:t>
            </w:r>
          </w:p>
        </w:tc>
        <w:tc>
          <w:tcPr>
            <w:tcW w:w="3163" w:type="dxa"/>
            <w:tcBorders>
              <w:top w:val="single" w:color="auto" w:sz="4" w:space="0"/>
              <w:left w:val="nil"/>
              <w:bottom w:val="single" w:color="auto" w:sz="4" w:space="0"/>
              <w:right w:val="single" w:color="auto" w:sz="4" w:space="0"/>
            </w:tcBorders>
            <w:vAlign w:val="center"/>
          </w:tcPr>
          <w:p>
            <w:pPr>
              <w:jc w:val="center"/>
              <w:rPr>
                <w:rFonts w:ascii="仿宋" w:hAnsi="仿宋" w:cs="宋体"/>
                <w:color w:val="000000"/>
                <w:kern w:val="0"/>
                <w:sz w:val="32"/>
                <w:szCs w:val="32"/>
              </w:rPr>
            </w:pPr>
            <w:r>
              <w:rPr>
                <w:rFonts w:hint="eastAsia" w:ascii="仿宋" w:hAnsi="仿宋" w:cs="宋体"/>
                <w:color w:val="000000"/>
                <w:kern w:val="0"/>
                <w:sz w:val="32"/>
                <w:szCs w:val="32"/>
              </w:rPr>
              <w:t>可接入部级监控平台的考场数</w:t>
            </w:r>
          </w:p>
        </w:tc>
        <w:tc>
          <w:tcPr>
            <w:tcW w:w="3119" w:type="dxa"/>
            <w:tcBorders>
              <w:top w:val="single" w:color="auto" w:sz="4" w:space="0"/>
              <w:left w:val="nil"/>
              <w:bottom w:val="single" w:color="auto" w:sz="4" w:space="0"/>
              <w:right w:val="single" w:color="auto" w:sz="4" w:space="0"/>
            </w:tcBorders>
            <w:vAlign w:val="center"/>
          </w:tcPr>
          <w:p>
            <w:pPr>
              <w:jc w:val="center"/>
              <w:rPr>
                <w:rFonts w:ascii="仿宋" w:hAnsi="仿宋" w:cs="宋体"/>
                <w:color w:val="000000"/>
                <w:kern w:val="0"/>
                <w:sz w:val="32"/>
                <w:szCs w:val="32"/>
              </w:rPr>
            </w:pPr>
            <w:r>
              <w:rPr>
                <w:rFonts w:hint="eastAsia" w:ascii="仿宋" w:hAnsi="仿宋" w:cs="宋体"/>
                <w:color w:val="000000"/>
                <w:kern w:val="0"/>
                <w:sz w:val="32"/>
                <w:szCs w:val="32"/>
              </w:rPr>
              <w:t>可接入省级监控平台的考场数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555" w:type="dxa"/>
            <w:tcBorders>
              <w:top w:val="single" w:color="auto" w:sz="4" w:space="0"/>
              <w:left w:val="single" w:color="auto" w:sz="4" w:space="0"/>
              <w:bottom w:val="single" w:color="auto" w:sz="4" w:space="0"/>
              <w:right w:val="single" w:color="auto" w:sz="4" w:space="0"/>
            </w:tcBorders>
          </w:tcPr>
          <w:p>
            <w:pPr>
              <w:rPr>
                <w:rFonts w:ascii="仿宋" w:hAnsi="仿宋" w:cs="宋体"/>
                <w:color w:val="000000"/>
                <w:kern w:val="0"/>
                <w:sz w:val="32"/>
                <w:szCs w:val="32"/>
              </w:rPr>
            </w:pPr>
          </w:p>
        </w:tc>
        <w:tc>
          <w:tcPr>
            <w:tcW w:w="2551" w:type="dxa"/>
            <w:tcBorders>
              <w:top w:val="single" w:color="auto" w:sz="4" w:space="0"/>
              <w:left w:val="nil"/>
              <w:bottom w:val="single" w:color="auto" w:sz="4" w:space="0"/>
              <w:right w:val="single" w:color="auto" w:sz="4" w:space="0"/>
            </w:tcBorders>
          </w:tcPr>
          <w:p>
            <w:pPr>
              <w:rPr>
                <w:rFonts w:ascii="仿宋" w:hAnsi="仿宋" w:cs="宋体"/>
                <w:color w:val="000000"/>
                <w:kern w:val="0"/>
                <w:sz w:val="32"/>
                <w:szCs w:val="32"/>
              </w:rPr>
            </w:pPr>
          </w:p>
        </w:tc>
        <w:tc>
          <w:tcPr>
            <w:tcW w:w="2507" w:type="dxa"/>
            <w:tcBorders>
              <w:top w:val="single" w:color="auto" w:sz="4" w:space="0"/>
              <w:left w:val="nil"/>
              <w:bottom w:val="single" w:color="auto" w:sz="4" w:space="0"/>
              <w:right w:val="single" w:color="auto" w:sz="4" w:space="0"/>
            </w:tcBorders>
          </w:tcPr>
          <w:p>
            <w:pPr>
              <w:rPr>
                <w:rFonts w:ascii="仿宋" w:hAnsi="仿宋" w:cs="宋体"/>
                <w:color w:val="000000"/>
                <w:kern w:val="0"/>
                <w:sz w:val="32"/>
                <w:szCs w:val="32"/>
              </w:rPr>
            </w:pPr>
          </w:p>
        </w:tc>
        <w:tc>
          <w:tcPr>
            <w:tcW w:w="3163" w:type="dxa"/>
            <w:tcBorders>
              <w:top w:val="single" w:color="auto" w:sz="4" w:space="0"/>
              <w:left w:val="nil"/>
              <w:bottom w:val="single" w:color="auto" w:sz="4" w:space="0"/>
              <w:right w:val="single" w:color="auto" w:sz="4" w:space="0"/>
            </w:tcBorders>
          </w:tcPr>
          <w:p>
            <w:pPr>
              <w:rPr>
                <w:rFonts w:ascii="仿宋" w:hAnsi="仿宋" w:cs="宋体"/>
                <w:color w:val="000000"/>
                <w:kern w:val="0"/>
                <w:sz w:val="32"/>
                <w:szCs w:val="32"/>
              </w:rPr>
            </w:pPr>
          </w:p>
        </w:tc>
        <w:tc>
          <w:tcPr>
            <w:tcW w:w="3119" w:type="dxa"/>
            <w:tcBorders>
              <w:top w:val="single" w:color="auto" w:sz="4" w:space="0"/>
              <w:left w:val="nil"/>
              <w:bottom w:val="single" w:color="auto" w:sz="4" w:space="0"/>
              <w:right w:val="single" w:color="auto" w:sz="4" w:space="0"/>
            </w:tcBorders>
          </w:tcPr>
          <w:p>
            <w:pPr>
              <w:rPr>
                <w:rFonts w:ascii="仿宋" w:hAnsi="仿宋" w:cs="宋体"/>
                <w:color w:val="000000"/>
                <w:kern w:val="0"/>
                <w:sz w:val="32"/>
                <w:szCs w:val="32"/>
              </w:rPr>
            </w:pPr>
          </w:p>
        </w:tc>
      </w:tr>
    </w:tbl>
    <w:p>
      <w:pPr>
        <w:rPr>
          <w:rFonts w:ascii="仿宋" w:hAnsi="仿宋" w:cs="宋体"/>
          <w:color w:val="000000"/>
          <w:kern w:val="0"/>
          <w:sz w:val="32"/>
          <w:szCs w:val="32"/>
        </w:rPr>
      </w:pPr>
    </w:p>
    <w:p>
      <w:pPr>
        <w:rPr>
          <w:rFonts w:ascii="仿宋" w:hAnsi="仿宋" w:cs="宋体"/>
          <w:color w:val="000000"/>
          <w:kern w:val="0"/>
          <w:sz w:val="32"/>
          <w:szCs w:val="32"/>
        </w:rPr>
      </w:pPr>
    </w:p>
    <w:p>
      <w:pPr>
        <w:jc w:val="left"/>
        <w:rPr>
          <w:rFonts w:ascii="仿宋_GB2312" w:hAnsi="宋体" w:eastAsia="仿宋_GB2312"/>
          <w:color w:val="000000"/>
          <w:kern w:val="0"/>
          <w:sz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71F7"/>
    <w:rsid w:val="000B499D"/>
    <w:rsid w:val="00244DE9"/>
    <w:rsid w:val="006F3359"/>
    <w:rsid w:val="007F39F9"/>
    <w:rsid w:val="00A95AAE"/>
    <w:rsid w:val="00D30A43"/>
    <w:rsid w:val="00EC71F7"/>
    <w:rsid w:val="00F53D37"/>
    <w:rsid w:val="00F7581B"/>
    <w:rsid w:val="27153F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character" w:styleId="5">
    <w:name w:val="Hyperlink"/>
    <w:semiHidden/>
    <w:unhideWhenUsed/>
    <w:qFormat/>
    <w:uiPriority w:val="0"/>
    <w:rPr>
      <w:color w:val="0000FF"/>
      <w:u w:val="single"/>
    </w:rPr>
  </w:style>
  <w:style w:type="paragraph" w:customStyle="1" w:styleId="6">
    <w:name w:val="List Paragraph1"/>
    <w:basedOn w:val="1"/>
    <w:qFormat/>
    <w:uiPriority w:val="0"/>
    <w:pPr>
      <w:ind w:firstLine="420" w:firstLineChars="200"/>
    </w:pPr>
    <w:rPr>
      <w:rFonts w:ascii="Calibri" w:hAnsi="Calibri" w:cs="宋体"/>
      <w:szCs w:val="21"/>
    </w:rPr>
  </w:style>
  <w:style w:type="character" w:customStyle="1" w:styleId="7">
    <w:name w:val="批注框文本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Temp/ksohtml8512/wps1.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1418</Words>
  <Characters>8087</Characters>
  <Lines>67</Lines>
  <Paragraphs>18</Paragraphs>
  <TotalTime>3</TotalTime>
  <ScaleCrop>false</ScaleCrop>
  <LinksUpToDate>false</LinksUpToDate>
  <CharactersWithSpaces>9487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2020-07-09T06:01:00Z</dcterms:created>
  <dc:creator>会计处(行政审批处)-尹莉萍</dc:creator>
  <cp:lastModifiedBy>lenovo</cp:lastModifiedBy>
  <dcterms:modified xsi:type="dcterms:W3CDTF">2020-07-10T00:51:09Z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