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单选题</w:t>
      </w:r>
      <w:r>
        <w:rPr>
          <w:rFonts w:ascii="Arial" w:hAnsi="Arial" w:cs="Arial"/>
          <w:color w:val="000000"/>
          <w:sz w:val="21"/>
          <w:szCs w:val="21"/>
        </w:rPr>
        <w:t>$]</w:t>
      </w:r>
    </w:p>
    <w:p w:rsidR="004C3CFA" w:rsidRDefault="004C3CFA" w:rsidP="004C3CFA">
      <w:pPr>
        <w:pStyle w:val="a3"/>
        <w:spacing w:before="75" w:beforeAutospacing="0" w:after="75" w:afterAutospacing="0"/>
        <w:jc w:val="center"/>
        <w:rPr>
          <w:rFonts w:ascii="Arial" w:hAnsi="Arial" w:cs="Arial"/>
          <w:color w:val="000000"/>
          <w:sz w:val="21"/>
          <w:szCs w:val="21"/>
        </w:rPr>
      </w:pPr>
      <w:r>
        <w:rPr>
          <w:rStyle w:val="a4"/>
          <w:rFonts w:ascii="Arial" w:hAnsi="Arial" w:cs="Arial"/>
          <w:color w:val="000000"/>
          <w:sz w:val="21"/>
          <w:szCs w:val="21"/>
        </w:rPr>
        <w:t>2019</w:t>
      </w:r>
      <w:r>
        <w:rPr>
          <w:rStyle w:val="a4"/>
          <w:rFonts w:ascii="Arial" w:hAnsi="Arial" w:cs="Arial"/>
          <w:color w:val="000000"/>
          <w:sz w:val="21"/>
          <w:szCs w:val="21"/>
        </w:rPr>
        <w:t>年</w:t>
      </w:r>
      <w:hyperlink r:id="rId5" w:tgtFrame="_blank" w:tooltip="中级会计职称考试" w:history="1">
        <w:r>
          <w:rPr>
            <w:rStyle w:val="a5"/>
            <w:rFonts w:ascii="Arial" w:hAnsi="Arial" w:cs="Arial"/>
            <w:b/>
            <w:bCs/>
            <w:sz w:val="21"/>
            <w:szCs w:val="21"/>
          </w:rPr>
          <w:t>中级会计职称考试</w:t>
        </w:r>
      </w:hyperlink>
      <w:r>
        <w:rPr>
          <w:rStyle w:val="a4"/>
          <w:rFonts w:ascii="Arial" w:hAnsi="Arial" w:cs="Arial"/>
          <w:color w:val="000000"/>
          <w:sz w:val="21"/>
          <w:szCs w:val="21"/>
        </w:rPr>
        <w:t>《财务管理》真题及答案（完整版）</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一、单选题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股利无关论认为股利分配对公司市场价值不产生影响，下列关于股利无关理论的假设表述错误的是</w:t>
      </w:r>
      <w:r>
        <w:rPr>
          <w:rFonts w:ascii="Arial" w:hAnsi="Arial" w:cs="Arial"/>
          <w:color w:val="000000"/>
          <w:sz w:val="21"/>
          <w:szCs w:val="21"/>
        </w:rPr>
        <w:t>( )</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投资决策不受股利分配的影响</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不存在股票筹资费用</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不存在资本增值</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不存在个人或公司所得税</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【解析】股利无关论是建立在完全资本市场理论之上的，假定条件包括：第一，市场具有强式效率，没有交易成本，没有任何一个股东的实力足以影响股票价格</w:t>
      </w:r>
      <w:r>
        <w:rPr>
          <w:rFonts w:ascii="Arial" w:hAnsi="Arial" w:cs="Arial"/>
          <w:color w:val="000000"/>
          <w:sz w:val="21"/>
          <w:szCs w:val="21"/>
        </w:rPr>
        <w:t>;</w:t>
      </w:r>
      <w:r>
        <w:rPr>
          <w:rFonts w:ascii="Arial" w:hAnsi="Arial" w:cs="Arial"/>
          <w:color w:val="000000"/>
          <w:sz w:val="21"/>
          <w:szCs w:val="21"/>
        </w:rPr>
        <w:t>第二，不存在任何公司或个人所得税</w:t>
      </w:r>
      <w:r>
        <w:rPr>
          <w:rFonts w:ascii="Arial" w:hAnsi="Arial" w:cs="Arial"/>
          <w:color w:val="000000"/>
          <w:sz w:val="21"/>
          <w:szCs w:val="21"/>
        </w:rPr>
        <w:t>;</w:t>
      </w:r>
      <w:r>
        <w:rPr>
          <w:rFonts w:ascii="Arial" w:hAnsi="Arial" w:cs="Arial"/>
          <w:color w:val="000000"/>
          <w:sz w:val="21"/>
          <w:szCs w:val="21"/>
        </w:rPr>
        <w:t>第三，不存在任何筹资费用</w:t>
      </w:r>
      <w:r>
        <w:rPr>
          <w:rFonts w:ascii="Arial" w:hAnsi="Arial" w:cs="Arial"/>
          <w:color w:val="000000"/>
          <w:sz w:val="21"/>
          <w:szCs w:val="21"/>
        </w:rPr>
        <w:t>;</w:t>
      </w:r>
      <w:r>
        <w:rPr>
          <w:rFonts w:ascii="Arial" w:hAnsi="Arial" w:cs="Arial"/>
          <w:color w:val="000000"/>
          <w:sz w:val="21"/>
          <w:szCs w:val="21"/>
        </w:rPr>
        <w:t>第四，公司的投资决策与股利决策彼此独立，即投资决策不受股利分配的影响</w:t>
      </w:r>
      <w:r>
        <w:rPr>
          <w:rFonts w:ascii="Arial" w:hAnsi="Arial" w:cs="Arial"/>
          <w:color w:val="000000"/>
          <w:sz w:val="21"/>
          <w:szCs w:val="21"/>
        </w:rPr>
        <w:t>;</w:t>
      </w:r>
      <w:r>
        <w:rPr>
          <w:rFonts w:ascii="Arial" w:hAnsi="Arial" w:cs="Arial"/>
          <w:color w:val="000000"/>
          <w:sz w:val="21"/>
          <w:szCs w:val="21"/>
        </w:rPr>
        <w:t>第五，股东对股利收入和资本增值之间并无偏好。</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【考点】第九章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一、股利政策与企业价值</w:t>
      </w:r>
      <w:r>
        <w:rPr>
          <w:rFonts w:ascii="Arial" w:hAnsi="Arial" w:cs="Arial"/>
          <w:color w:val="000000"/>
          <w:sz w:val="21"/>
          <w:szCs w:val="21"/>
        </w:rPr>
        <w:t xml:space="preserve"> p298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05455"/>
            <wp:effectExtent l="0" t="0" r="0" b="4445"/>
            <wp:docPr id="63" name="图片 63" descr="http://img.wangxiao.cn/bjupload/2019-09-11/447a555a-3fe0-40c2-b1e3-ef4b5eb3a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angxiao.cn/bjupload/2019-09-11/447a555a-3fe0-40c2-b1e3-ef4b5eb3ad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公司采用协商价格作为内部转移价格时，协商价格的下限一般为</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完全成本加成</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市场价格</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单位完全成本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单位变动成本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【解析】协商价格的上限是市场价格，下限则是单位变动成本。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二、责任成本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279390" cy="3021330"/>
            <wp:effectExtent l="0" t="0" r="0" b="7620"/>
            <wp:docPr id="62" name="图片 62" descr="http://img.wangxiao.cn/bjupload/2019-09-11/214aa5af-6b09-4f79-ad4f-9862c251f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wangxiao.cn/bjupload/2019-09-11/214aa5af-6b09-4f79-ad4f-9862c251f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390" cy="302133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某公司股票的当前市场价格为</w:t>
      </w:r>
      <w:r>
        <w:rPr>
          <w:rFonts w:ascii="Arial" w:hAnsi="Arial" w:cs="Arial"/>
          <w:color w:val="000000"/>
          <w:sz w:val="21"/>
          <w:szCs w:val="21"/>
        </w:rPr>
        <w:t>10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股，今年发放的现金股利为</w:t>
      </w:r>
      <w:r>
        <w:rPr>
          <w:rFonts w:ascii="Arial" w:hAnsi="Arial" w:cs="Arial"/>
          <w:color w:val="000000"/>
          <w:sz w:val="21"/>
          <w:szCs w:val="21"/>
        </w:rPr>
        <w:t>0.2</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股</w:t>
      </w:r>
      <w:r>
        <w:rPr>
          <w:rFonts w:ascii="Arial" w:hAnsi="Arial" w:cs="Arial"/>
          <w:color w:val="000000"/>
          <w:sz w:val="21"/>
          <w:szCs w:val="21"/>
        </w:rPr>
        <w:t>(</w:t>
      </w:r>
      <w:r>
        <w:rPr>
          <w:rFonts w:ascii="Arial" w:hAnsi="Arial" w:cs="Arial"/>
          <w:color w:val="000000"/>
          <w:sz w:val="21"/>
          <w:szCs w:val="21"/>
        </w:rPr>
        <w:t>即</w:t>
      </w:r>
      <w:r>
        <w:rPr>
          <w:rFonts w:ascii="Arial" w:hAnsi="Arial" w:cs="Arial"/>
          <w:color w:val="000000"/>
          <w:sz w:val="21"/>
          <w:szCs w:val="21"/>
        </w:rPr>
        <w:t>D0=0.2)</w:t>
      </w:r>
      <w:r>
        <w:rPr>
          <w:rFonts w:ascii="Arial" w:hAnsi="Arial" w:cs="Arial"/>
          <w:color w:val="000000"/>
          <w:sz w:val="21"/>
          <w:szCs w:val="21"/>
        </w:rPr>
        <w:t>，预计未来每年股利增长率为</w:t>
      </w:r>
      <w:r>
        <w:rPr>
          <w:rFonts w:ascii="Arial" w:hAnsi="Arial" w:cs="Arial"/>
          <w:color w:val="000000"/>
          <w:sz w:val="21"/>
          <w:szCs w:val="21"/>
        </w:rPr>
        <w:t>5%</w:t>
      </w:r>
      <w:r>
        <w:rPr>
          <w:rFonts w:ascii="Arial" w:hAnsi="Arial" w:cs="Arial"/>
          <w:color w:val="000000"/>
          <w:sz w:val="21"/>
          <w:szCs w:val="21"/>
        </w:rPr>
        <w:t>，则该股票的内部收益率为</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A.7.1%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B.7%</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【解析】股票的内部收益率</w:t>
      </w:r>
      <w:r>
        <w:rPr>
          <w:rFonts w:ascii="Arial" w:hAnsi="Arial" w:cs="Arial"/>
          <w:color w:val="000000"/>
          <w:sz w:val="21"/>
          <w:szCs w:val="21"/>
        </w:rPr>
        <w:t>=D1/P0+g=0.2×(1+5%)/10+5%=7.1%</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【考点】第六章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五、股票投资</w:t>
      </w:r>
      <w:r>
        <w:rPr>
          <w:rFonts w:ascii="Arial" w:hAnsi="Arial" w:cs="Arial"/>
          <w:color w:val="000000"/>
          <w:sz w:val="21"/>
          <w:szCs w:val="21"/>
        </w:rPr>
        <w:t>p173</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2997835"/>
            <wp:effectExtent l="0" t="0" r="0" b="0"/>
            <wp:docPr id="61" name="图片 61" descr="http://img.wangxiao.cn/bjupload/2019-09-11/6b649690-cd68-4543-9e02-9bf4e4274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wangxiao.cn/bjupload/2019-09-11/6b649690-cd68-4543-9e02-9bf4e42741b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下列各项中，属于系统性风险的是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变现风险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违约风险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破产风险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购买力风险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hyperlink r:id="rId9" w:tgtFrame="_blank" w:tooltip="证券" w:history="1">
        <w:r>
          <w:rPr>
            <w:rStyle w:val="a5"/>
            <w:rFonts w:ascii="Arial" w:hAnsi="Arial" w:cs="Arial"/>
            <w:sz w:val="21"/>
            <w:szCs w:val="21"/>
          </w:rPr>
          <w:t>证券</w:t>
        </w:r>
      </w:hyperlink>
      <w:r>
        <w:rPr>
          <w:rFonts w:ascii="Arial" w:hAnsi="Arial" w:cs="Arial"/>
          <w:color w:val="000000"/>
          <w:sz w:val="21"/>
          <w:szCs w:val="21"/>
        </w:rPr>
        <w:t>资产的系统性风险，是指由于外部经济环境因素变化引起整个资本市场不确定性加强，从而对所有证券都产生影响的共同性风险。主要包括：价格风险、再投资风险、购买力风险。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【考点】第六章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三、证券投资的风险</w:t>
      </w:r>
      <w:r>
        <w:rPr>
          <w:rFonts w:ascii="Arial" w:hAnsi="Arial" w:cs="Arial"/>
          <w:color w:val="000000"/>
          <w:sz w:val="21"/>
          <w:szCs w:val="21"/>
        </w:rPr>
        <w:t xml:space="preserve"> P164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77210"/>
            <wp:effectExtent l="0" t="0" r="0" b="8890"/>
            <wp:docPr id="60" name="图片 60" descr="http://img.wangxiao.cn/bjupload/2019-09-11/217d6be4-98ac-41cc-90e8-8260022fd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wangxiao.cn/bjupload/2019-09-11/217d6be4-98ac-41cc-90e8-8260022fd5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企业在销售旺季为方便向客户提供商业信用而持有更多现金，该现金持有动机主要表现为</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交易性需求</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投资性需求</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投机性需求</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预防性需求</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的交易性需求是指企业为了维持日常周转及正常商业活动所需持有的现金额。企业每天都在发生许多支出和收入，这些支出和收入在数额上不相等，在时间上不匹配，企业需要持有一定现金来调节，以使生产经营活动能继续进行。</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一、持有现金的动机</w:t>
      </w:r>
      <w:r>
        <w:rPr>
          <w:rFonts w:ascii="Arial" w:hAnsi="Arial" w:cs="Arial"/>
          <w:color w:val="000000"/>
          <w:sz w:val="21"/>
          <w:szCs w:val="21"/>
        </w:rPr>
        <w:t>p181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1960"/>
            <wp:effectExtent l="0" t="0" r="0" b="8890"/>
            <wp:docPr id="59" name="图片 59" descr="http://img.wangxiao.cn/bjupload/2019-09-11/01e710b8-0774-4dbb-a4f7-3105f0134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wangxiao.cn/bjupload/2019-09-11/01e710b8-0774-4dbb-a4f7-3105f0134f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390" cy="29819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若企业基期固定成本为</w:t>
      </w:r>
      <w:r>
        <w:rPr>
          <w:rFonts w:ascii="Arial" w:hAnsi="Arial" w:cs="Arial"/>
          <w:color w:val="000000"/>
          <w:sz w:val="21"/>
          <w:szCs w:val="21"/>
        </w:rPr>
        <w:t>200</w:t>
      </w:r>
      <w:r>
        <w:rPr>
          <w:rFonts w:ascii="Arial" w:hAnsi="Arial" w:cs="Arial"/>
          <w:color w:val="000000"/>
          <w:sz w:val="21"/>
          <w:szCs w:val="21"/>
        </w:rPr>
        <w:t>万元，基期</w:t>
      </w:r>
      <w:proofErr w:type="gramStart"/>
      <w:r>
        <w:rPr>
          <w:rFonts w:ascii="Arial" w:hAnsi="Arial" w:cs="Arial"/>
          <w:color w:val="000000"/>
          <w:sz w:val="21"/>
          <w:szCs w:val="21"/>
        </w:rPr>
        <w:t>息</w:t>
      </w:r>
      <w:proofErr w:type="gramEnd"/>
      <w:r>
        <w:rPr>
          <w:rFonts w:ascii="Arial" w:hAnsi="Arial" w:cs="Arial"/>
          <w:color w:val="000000"/>
          <w:sz w:val="21"/>
          <w:szCs w:val="21"/>
        </w:rPr>
        <w:t>税前利润为</w:t>
      </w:r>
      <w:r>
        <w:rPr>
          <w:rFonts w:ascii="Arial" w:hAnsi="Arial" w:cs="Arial"/>
          <w:color w:val="000000"/>
          <w:sz w:val="21"/>
          <w:szCs w:val="21"/>
        </w:rPr>
        <w:t>300</w:t>
      </w:r>
      <w:r>
        <w:rPr>
          <w:rFonts w:ascii="Arial" w:hAnsi="Arial" w:cs="Arial"/>
          <w:color w:val="000000"/>
          <w:sz w:val="21"/>
          <w:szCs w:val="21"/>
        </w:rPr>
        <w:t>万元，则经营杠杆系数为</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A.2.5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B.1.67</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D.0.67</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【解析】经营杠杆系数</w:t>
      </w:r>
      <w:r>
        <w:rPr>
          <w:rFonts w:ascii="Arial" w:hAnsi="Arial" w:cs="Arial"/>
          <w:color w:val="000000"/>
          <w:sz w:val="21"/>
          <w:szCs w:val="21"/>
        </w:rPr>
        <w:t>=</w:t>
      </w:r>
      <w:r>
        <w:rPr>
          <w:rFonts w:ascii="Arial" w:hAnsi="Arial" w:cs="Arial"/>
          <w:color w:val="000000"/>
          <w:sz w:val="21"/>
          <w:szCs w:val="21"/>
        </w:rPr>
        <w:t>基期边际贡献</w:t>
      </w:r>
      <w:r>
        <w:rPr>
          <w:rFonts w:ascii="Arial" w:hAnsi="Arial" w:cs="Arial"/>
          <w:color w:val="000000"/>
          <w:sz w:val="21"/>
          <w:szCs w:val="21"/>
        </w:rPr>
        <w:t>/</w:t>
      </w:r>
      <w:r>
        <w:rPr>
          <w:rFonts w:ascii="Arial" w:hAnsi="Arial" w:cs="Arial"/>
          <w:color w:val="000000"/>
          <w:sz w:val="21"/>
          <w:szCs w:val="21"/>
        </w:rPr>
        <w:t>基期</w:t>
      </w:r>
      <w:proofErr w:type="gramStart"/>
      <w:r>
        <w:rPr>
          <w:rFonts w:ascii="Arial" w:hAnsi="Arial" w:cs="Arial"/>
          <w:color w:val="000000"/>
          <w:sz w:val="21"/>
          <w:szCs w:val="21"/>
        </w:rPr>
        <w:t>息</w:t>
      </w:r>
      <w:proofErr w:type="gramEnd"/>
      <w:r>
        <w:rPr>
          <w:rFonts w:ascii="Arial" w:hAnsi="Arial" w:cs="Arial"/>
          <w:color w:val="000000"/>
          <w:sz w:val="21"/>
          <w:szCs w:val="21"/>
        </w:rPr>
        <w:t>税前利润</w:t>
      </w:r>
      <w:r>
        <w:rPr>
          <w:rFonts w:ascii="Arial" w:hAnsi="Arial" w:cs="Arial"/>
          <w:color w:val="000000"/>
          <w:sz w:val="21"/>
          <w:szCs w:val="21"/>
        </w:rPr>
        <w:t>=(200+300)/300=1.67</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【考点】第五章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一、经营杠杆效应</w:t>
      </w:r>
      <w:r>
        <w:rPr>
          <w:rFonts w:ascii="Arial" w:hAnsi="Arial" w:cs="Arial"/>
          <w:color w:val="000000"/>
          <w:sz w:val="21"/>
          <w:szCs w:val="21"/>
        </w:rPr>
        <w:t>p124</w:t>
      </w:r>
    </w:p>
    <w:p w:rsidR="004C3CFA" w:rsidRDefault="004C3CFA" w:rsidP="004C3CFA">
      <w:pPr>
        <w:pStyle w:val="a3"/>
        <w:spacing w:before="75" w:beforeAutospacing="0" w:after="75" w:afterAutospacing="0"/>
        <w:rPr>
          <w:rFonts w:ascii="Arial" w:hAnsi="Arial" w:cs="Arial"/>
          <w:color w:val="000000"/>
          <w:sz w:val="21"/>
          <w:szCs w:val="21"/>
        </w:rPr>
      </w:pP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61335"/>
            <wp:effectExtent l="0" t="0" r="0" b="5715"/>
            <wp:docPr id="58" name="图片 58" descr="http://img.wangxiao.cn/bjupload/2019-09-11/bf4974e4-21c7-44ca-b1bf-c87b66cf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wangxiao.cn/bjupload/2019-09-11/bf4974e4-21c7-44ca-b1bf-c87b66cf22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0613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与银行借款筹资相比，下列属于普通股筹资特点的是</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筹资速度较快</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资本成本较低</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筹资数额有限</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财务风险较小</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【解析】股权资本不用在企业正常营运期内偿还，没有还本付息的财务压力。相对于债务资金而言，股权资本筹资限制少，资本使用上也无特别限制。所以财务风险较小。</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四、股权筹资的优缺点</w:t>
      </w:r>
      <w:r>
        <w:rPr>
          <w:rFonts w:ascii="Arial" w:hAnsi="Arial" w:cs="Arial"/>
          <w:color w:val="000000"/>
          <w:sz w:val="21"/>
          <w:szCs w:val="21"/>
        </w:rPr>
        <w:t>p103</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77210"/>
            <wp:effectExtent l="0" t="0" r="0" b="8890"/>
            <wp:docPr id="57" name="图片 57" descr="http://img.wangxiao.cn/bjupload/2019-09-11/be6b9dcd-ca0d-45f4-a00f-5154b7974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wangxiao.cn/bjupload/2019-09-11/be6b9dcd-ca0d-45f4-a00f-5154b7974f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下列各项中，属于衍生工具筹资方式的是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认股权证筹资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商业信用筹资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普通股筹资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融资租赁筹资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【解析】衍生工具筹资，包括兼具股权和债务性质的混合融资和其他衍生工具融资。我国上市公司目前最常见的混合融资方式是可转换债券融资，最常见的其他衍生工具融资是认股权证融资。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四、筹资的分类</w:t>
      </w:r>
      <w:r>
        <w:rPr>
          <w:rFonts w:ascii="Arial" w:hAnsi="Arial" w:cs="Arial"/>
          <w:color w:val="000000"/>
          <w:sz w:val="21"/>
          <w:szCs w:val="21"/>
        </w:rPr>
        <w:t xml:space="preserve"> p80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29585"/>
            <wp:effectExtent l="0" t="0" r="0" b="0"/>
            <wp:docPr id="56" name="图片 56" descr="http://img.wangxiao.cn/bjupload/2019-09-11/79a773d8-9acb-4455-9399-9dcac1cf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wangxiao.cn/bjupload/2019-09-11/79a773d8-9acb-4455-9399-9dcac1cf00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302958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某公司向银行借款</w:t>
      </w:r>
      <w:r>
        <w:rPr>
          <w:rFonts w:ascii="Arial" w:hAnsi="Arial" w:cs="Arial"/>
          <w:color w:val="000000"/>
          <w:sz w:val="21"/>
          <w:szCs w:val="21"/>
        </w:rPr>
        <w:t>2000</w:t>
      </w:r>
      <w:r>
        <w:rPr>
          <w:rFonts w:ascii="Arial" w:hAnsi="Arial" w:cs="Arial"/>
          <w:color w:val="000000"/>
          <w:sz w:val="21"/>
          <w:szCs w:val="21"/>
        </w:rPr>
        <w:t>万元，期限为</w:t>
      </w:r>
      <w:r>
        <w:rPr>
          <w:rFonts w:ascii="Arial" w:hAnsi="Arial" w:cs="Arial"/>
          <w:color w:val="000000"/>
          <w:sz w:val="21"/>
          <w:szCs w:val="21"/>
        </w:rPr>
        <w:t>1</w:t>
      </w:r>
      <w:r>
        <w:rPr>
          <w:rFonts w:ascii="Arial" w:hAnsi="Arial" w:cs="Arial"/>
          <w:color w:val="000000"/>
          <w:sz w:val="21"/>
          <w:szCs w:val="21"/>
        </w:rPr>
        <w:t>年，年利率为</w:t>
      </w:r>
      <w:r>
        <w:rPr>
          <w:rFonts w:ascii="Arial" w:hAnsi="Arial" w:cs="Arial"/>
          <w:color w:val="000000"/>
          <w:sz w:val="21"/>
          <w:szCs w:val="21"/>
        </w:rPr>
        <w:t>6.5%</w:t>
      </w:r>
      <w:r>
        <w:rPr>
          <w:rFonts w:ascii="Arial" w:hAnsi="Arial" w:cs="Arial"/>
          <w:color w:val="000000"/>
          <w:sz w:val="21"/>
          <w:szCs w:val="21"/>
        </w:rPr>
        <w:t>，银行要求的补偿性余额比例为</w:t>
      </w:r>
      <w:r>
        <w:rPr>
          <w:rFonts w:ascii="Arial" w:hAnsi="Arial" w:cs="Arial"/>
          <w:color w:val="000000"/>
          <w:sz w:val="21"/>
          <w:szCs w:val="21"/>
        </w:rPr>
        <w:t>12%</w:t>
      </w:r>
      <w:r>
        <w:rPr>
          <w:rFonts w:ascii="Arial" w:hAnsi="Arial" w:cs="Arial"/>
          <w:color w:val="000000"/>
          <w:sz w:val="21"/>
          <w:szCs w:val="21"/>
        </w:rPr>
        <w:t>，则该借款的实际利率为</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A.7.28%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B.6.59</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C.7.39%</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D.12%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【解析】借款的实际利率</w:t>
      </w:r>
      <w:r>
        <w:rPr>
          <w:rFonts w:ascii="Arial" w:hAnsi="Arial" w:cs="Arial"/>
          <w:color w:val="000000"/>
          <w:sz w:val="21"/>
          <w:szCs w:val="21"/>
        </w:rPr>
        <w:t>=6.5%/(1-12%)=7.39%</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第五节</w:t>
      </w:r>
      <w:r>
        <w:rPr>
          <w:rFonts w:ascii="Arial" w:hAnsi="Arial" w:cs="Arial"/>
          <w:color w:val="000000"/>
          <w:sz w:val="21"/>
          <w:szCs w:val="21"/>
        </w:rPr>
        <w:t xml:space="preserve"> </w:t>
      </w:r>
      <w:r>
        <w:rPr>
          <w:rFonts w:ascii="Arial" w:hAnsi="Arial" w:cs="Arial"/>
          <w:color w:val="000000"/>
          <w:sz w:val="21"/>
          <w:szCs w:val="21"/>
        </w:rPr>
        <w:t>一、短期借款</w:t>
      </w:r>
      <w:r>
        <w:rPr>
          <w:rFonts w:ascii="Arial" w:hAnsi="Arial" w:cs="Arial"/>
          <w:color w:val="000000"/>
          <w:sz w:val="21"/>
          <w:szCs w:val="21"/>
        </w:rPr>
        <w:t>p213</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21330"/>
            <wp:effectExtent l="0" t="0" r="0" b="7620"/>
            <wp:docPr id="55" name="图片 55" descr="http://img.wangxiao.cn/bjupload/2019-09-11/ec5e7cbe-ef97-4407-adb3-f4a3f709a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angxiao.cn/bjupload/2019-09-11/ec5e7cbe-ef97-4407-adb3-f4a3f709a1c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390" cy="302133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05455"/>
            <wp:effectExtent l="0" t="0" r="0" b="4445"/>
            <wp:docPr id="54" name="图片 54" descr="http://img.wangxiao.cn/bjupload/2019-09-11/0402935e-e036-41dc-ac47-70d2a1242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wangxiao.cn/bjupload/2019-09-11/0402935e-e036-41dc-ac47-70d2a1242cb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关于资产负债表预算，下列表述正确的是</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资本支出预算的结果不会影响到资产负债表预算的编制</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编制资产负债表预算的目的在于了解企业预算期的经营成果</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利润</w:t>
      </w:r>
      <w:proofErr w:type="gramStart"/>
      <w:r>
        <w:rPr>
          <w:rFonts w:ascii="Arial" w:hAnsi="Arial" w:cs="Arial"/>
          <w:color w:val="000000"/>
          <w:sz w:val="21"/>
          <w:szCs w:val="21"/>
        </w:rPr>
        <w:t>表预算</w:t>
      </w:r>
      <w:proofErr w:type="gramEnd"/>
      <w:r>
        <w:rPr>
          <w:rFonts w:ascii="Arial" w:hAnsi="Arial" w:cs="Arial"/>
          <w:color w:val="000000"/>
          <w:sz w:val="21"/>
          <w:szCs w:val="21"/>
        </w:rPr>
        <w:t>编制应当先于资产负债表预算编制而成</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资产负债表预算是现金预算编制的起点和基础</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【解析】预计资产负债表的编制需以计划期开始日的资产负债表为基础，结合计划期间各项业务预算、专门决策预算、现金预算和预计利润表进行编制。选项</w:t>
      </w:r>
      <w:r>
        <w:rPr>
          <w:rFonts w:ascii="Arial" w:hAnsi="Arial" w:cs="Arial"/>
          <w:color w:val="000000"/>
          <w:sz w:val="21"/>
          <w:szCs w:val="21"/>
        </w:rPr>
        <w:t>A</w:t>
      </w:r>
      <w:r>
        <w:rPr>
          <w:rFonts w:ascii="Arial" w:hAnsi="Arial" w:cs="Arial"/>
          <w:color w:val="000000"/>
          <w:sz w:val="21"/>
          <w:szCs w:val="21"/>
        </w:rPr>
        <w:t>错误。编制预计资产负债表的目的，在于判断预算反映的财务状况的稳定性和流动性。选项</w:t>
      </w:r>
      <w:r>
        <w:rPr>
          <w:rFonts w:ascii="Arial" w:hAnsi="Arial" w:cs="Arial"/>
          <w:color w:val="000000"/>
          <w:sz w:val="21"/>
          <w:szCs w:val="21"/>
        </w:rPr>
        <w:t>B</w:t>
      </w:r>
      <w:r>
        <w:rPr>
          <w:rFonts w:ascii="Arial" w:hAnsi="Arial" w:cs="Arial"/>
          <w:color w:val="000000"/>
          <w:sz w:val="21"/>
          <w:szCs w:val="21"/>
        </w:rPr>
        <w:t>错误。预计资产负债表是编制全面预算的终点。选项</w:t>
      </w:r>
      <w:r>
        <w:rPr>
          <w:rFonts w:ascii="Arial" w:hAnsi="Arial" w:cs="Arial"/>
          <w:color w:val="000000"/>
          <w:sz w:val="21"/>
          <w:szCs w:val="21"/>
        </w:rPr>
        <w:t>C</w:t>
      </w:r>
      <w:r>
        <w:rPr>
          <w:rFonts w:ascii="Arial" w:hAnsi="Arial" w:cs="Arial"/>
          <w:color w:val="000000"/>
          <w:sz w:val="21"/>
          <w:szCs w:val="21"/>
        </w:rPr>
        <w:t>正确、选项</w:t>
      </w:r>
      <w:r>
        <w:rPr>
          <w:rFonts w:ascii="Arial" w:hAnsi="Arial" w:cs="Arial"/>
          <w:color w:val="000000"/>
          <w:sz w:val="21"/>
          <w:szCs w:val="21"/>
        </w:rPr>
        <w:t>D</w:t>
      </w:r>
      <w:r>
        <w:rPr>
          <w:rFonts w:ascii="Arial" w:hAnsi="Arial" w:cs="Arial"/>
          <w:color w:val="000000"/>
          <w:sz w:val="21"/>
          <w:szCs w:val="21"/>
        </w:rPr>
        <w:t>错误。</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三、财务预算的编制</w:t>
      </w:r>
      <w:r>
        <w:rPr>
          <w:rFonts w:ascii="Arial" w:hAnsi="Arial" w:cs="Arial"/>
          <w:color w:val="000000"/>
          <w:sz w:val="21"/>
          <w:szCs w:val="21"/>
        </w:rPr>
        <w:t>p72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45460"/>
            <wp:effectExtent l="0" t="0" r="0" b="2540"/>
            <wp:docPr id="53" name="图片 53" descr="http://img.wangxiao.cn/bjupload/2019-09-11/b297a0dc-c509-472e-95c3-56654b59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wangxiao.cn/bjupload/2019-09-11/b297a0dc-c509-472e-95c3-56654b592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11.</w:t>
      </w:r>
      <w:r>
        <w:rPr>
          <w:rFonts w:ascii="Arial" w:hAnsi="Arial" w:cs="Arial"/>
          <w:color w:val="000000"/>
          <w:sz w:val="21"/>
          <w:szCs w:val="21"/>
        </w:rPr>
        <w:t>下列各项中，属于内部筹资方式的是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利用留存收益筹资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向股东发行新股筹资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向企业股东借款筹资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向企业职工借款筹资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【解析】内部筹资是指企业通过利润留存而形成的筹资来源。留存收益是企业内部筹资的一种重要方式。</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四、筹资的分类</w:t>
      </w:r>
      <w:r>
        <w:rPr>
          <w:rFonts w:ascii="Arial" w:hAnsi="Arial" w:cs="Arial"/>
          <w:color w:val="000000"/>
          <w:sz w:val="21"/>
          <w:szCs w:val="21"/>
        </w:rPr>
        <w:t>p81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29585"/>
            <wp:effectExtent l="0" t="0" r="0" b="0"/>
            <wp:docPr id="52" name="图片 52" descr="http://img.wangxiao.cn/bjupload/2019-09-11/777139f5-20df-4c98-9260-9d6510fee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wangxiao.cn/bjupload/2019-09-11/777139f5-20df-4c98-9260-9d6510feeed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302958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w:t>
      </w:r>
      <w:r>
        <w:rPr>
          <w:rFonts w:ascii="Arial" w:hAnsi="Arial" w:cs="Arial"/>
          <w:color w:val="000000"/>
          <w:sz w:val="21"/>
          <w:szCs w:val="21"/>
        </w:rPr>
        <w:t>某公司生产并销售单一产品，适用的消费税税率为</w:t>
      </w:r>
      <w:r>
        <w:rPr>
          <w:rFonts w:ascii="Arial" w:hAnsi="Arial" w:cs="Arial"/>
          <w:color w:val="000000"/>
          <w:sz w:val="21"/>
          <w:szCs w:val="21"/>
        </w:rPr>
        <w:t>5%</w:t>
      </w:r>
      <w:r>
        <w:rPr>
          <w:rFonts w:ascii="Arial" w:hAnsi="Arial" w:cs="Arial"/>
          <w:color w:val="000000"/>
          <w:sz w:val="21"/>
          <w:szCs w:val="21"/>
        </w:rPr>
        <w:t>，本期计划销售量为</w:t>
      </w:r>
      <w:r>
        <w:rPr>
          <w:rFonts w:ascii="Arial" w:hAnsi="Arial" w:cs="Arial"/>
          <w:color w:val="000000"/>
          <w:sz w:val="21"/>
          <w:szCs w:val="21"/>
        </w:rPr>
        <w:t>80000</w:t>
      </w:r>
      <w:r>
        <w:rPr>
          <w:rFonts w:ascii="Arial" w:hAnsi="Arial" w:cs="Arial"/>
          <w:color w:val="000000"/>
          <w:sz w:val="21"/>
          <w:szCs w:val="21"/>
        </w:rPr>
        <w:t>件，公司产销平衡，完全成本总额为</w:t>
      </w:r>
      <w:r>
        <w:rPr>
          <w:rFonts w:ascii="Arial" w:hAnsi="Arial" w:cs="Arial"/>
          <w:color w:val="000000"/>
          <w:sz w:val="21"/>
          <w:szCs w:val="21"/>
        </w:rPr>
        <w:t>360000</w:t>
      </w:r>
      <w:r>
        <w:rPr>
          <w:rFonts w:ascii="Arial" w:hAnsi="Arial" w:cs="Arial"/>
          <w:color w:val="000000"/>
          <w:sz w:val="21"/>
          <w:szCs w:val="21"/>
        </w:rPr>
        <w:t>元，公司将目标利润定为</w:t>
      </w:r>
      <w:r>
        <w:rPr>
          <w:rFonts w:ascii="Arial" w:hAnsi="Arial" w:cs="Arial"/>
          <w:color w:val="000000"/>
          <w:sz w:val="21"/>
          <w:szCs w:val="21"/>
        </w:rPr>
        <w:t>400000</w:t>
      </w:r>
      <w:r>
        <w:rPr>
          <w:rFonts w:ascii="Arial" w:hAnsi="Arial" w:cs="Arial"/>
          <w:color w:val="000000"/>
          <w:sz w:val="21"/>
          <w:szCs w:val="21"/>
        </w:rPr>
        <w:t>元，</w:t>
      </w:r>
      <w:proofErr w:type="gramStart"/>
      <w:r>
        <w:rPr>
          <w:rFonts w:ascii="Arial" w:hAnsi="Arial" w:cs="Arial"/>
          <w:color w:val="000000"/>
          <w:sz w:val="21"/>
          <w:szCs w:val="21"/>
        </w:rPr>
        <w:t>则单位</w:t>
      </w:r>
      <w:proofErr w:type="gramEnd"/>
      <w:r>
        <w:rPr>
          <w:rFonts w:ascii="Arial" w:hAnsi="Arial" w:cs="Arial"/>
          <w:color w:val="000000"/>
          <w:sz w:val="21"/>
          <w:szCs w:val="21"/>
        </w:rPr>
        <w:t>产品价格应为</w:t>
      </w:r>
      <w:r>
        <w:rPr>
          <w:rFonts w:ascii="Arial" w:hAnsi="Arial" w:cs="Arial"/>
          <w:color w:val="000000"/>
          <w:sz w:val="21"/>
          <w:szCs w:val="21"/>
        </w:rPr>
        <w:t>()</w:t>
      </w:r>
      <w:r>
        <w:rPr>
          <w:rFonts w:ascii="Arial" w:hAnsi="Arial" w:cs="Arial"/>
          <w:color w:val="000000"/>
          <w:sz w:val="21"/>
          <w:szCs w:val="21"/>
        </w:rPr>
        <w:t>元。</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C.9.5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D.4.5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【解析】单位产品价格</w:t>
      </w:r>
      <w:r>
        <w:rPr>
          <w:rFonts w:ascii="Arial" w:hAnsi="Arial" w:cs="Arial"/>
          <w:color w:val="000000"/>
          <w:sz w:val="21"/>
          <w:szCs w:val="21"/>
        </w:rPr>
        <w:t>=(400000+360000)/[80000×(1-5%)]=10(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【考点】第九章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二、销售定价管理</w:t>
      </w:r>
      <w:r>
        <w:rPr>
          <w:rFonts w:ascii="Arial" w:hAnsi="Arial" w:cs="Arial"/>
          <w:color w:val="000000"/>
          <w:sz w:val="21"/>
          <w:szCs w:val="21"/>
        </w:rPr>
        <w:t>p272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97835"/>
            <wp:effectExtent l="0" t="0" r="0" b="0"/>
            <wp:docPr id="51" name="图片 51" descr="http://img.wangxiao.cn/bjupload/2019-09-11/b4a5e28a-0ad4-4179-832c-672466bd4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wangxiao.cn/bjupload/2019-09-11/b4a5e28a-0ad4-4179-832c-672466bd4fd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13.</w:t>
      </w:r>
      <w:r>
        <w:rPr>
          <w:rFonts w:ascii="Arial" w:hAnsi="Arial" w:cs="Arial"/>
          <w:color w:val="000000"/>
          <w:sz w:val="21"/>
          <w:szCs w:val="21"/>
        </w:rPr>
        <w:t>某公司生产和销售单一产品，预计计划年度销售量为</w:t>
      </w:r>
      <w:r>
        <w:rPr>
          <w:rFonts w:ascii="Arial" w:hAnsi="Arial" w:cs="Arial"/>
          <w:color w:val="000000"/>
          <w:sz w:val="21"/>
          <w:szCs w:val="21"/>
        </w:rPr>
        <w:t>10000</w:t>
      </w:r>
      <w:r>
        <w:rPr>
          <w:rFonts w:ascii="Arial" w:hAnsi="Arial" w:cs="Arial"/>
          <w:color w:val="000000"/>
          <w:sz w:val="21"/>
          <w:szCs w:val="21"/>
        </w:rPr>
        <w:t>件，单价为</w:t>
      </w:r>
      <w:r>
        <w:rPr>
          <w:rFonts w:ascii="Arial" w:hAnsi="Arial" w:cs="Arial"/>
          <w:color w:val="000000"/>
          <w:sz w:val="21"/>
          <w:szCs w:val="21"/>
        </w:rPr>
        <w:t>300</w:t>
      </w:r>
      <w:r>
        <w:rPr>
          <w:rFonts w:ascii="Arial" w:hAnsi="Arial" w:cs="Arial"/>
          <w:color w:val="000000"/>
          <w:sz w:val="21"/>
          <w:szCs w:val="21"/>
        </w:rPr>
        <w:t>元，单位变动成本为</w:t>
      </w:r>
      <w:r>
        <w:rPr>
          <w:rFonts w:ascii="Arial" w:hAnsi="Arial" w:cs="Arial"/>
          <w:color w:val="000000"/>
          <w:sz w:val="21"/>
          <w:szCs w:val="21"/>
        </w:rPr>
        <w:t>200</w:t>
      </w:r>
      <w:r>
        <w:rPr>
          <w:rFonts w:ascii="Arial" w:hAnsi="Arial" w:cs="Arial"/>
          <w:color w:val="000000"/>
          <w:sz w:val="21"/>
          <w:szCs w:val="21"/>
        </w:rPr>
        <w:t>元，固定成本为</w:t>
      </w:r>
      <w:r>
        <w:rPr>
          <w:rFonts w:ascii="Arial" w:hAnsi="Arial" w:cs="Arial"/>
          <w:color w:val="000000"/>
          <w:sz w:val="21"/>
          <w:szCs w:val="21"/>
        </w:rPr>
        <w:t>200000</w:t>
      </w:r>
      <w:r>
        <w:rPr>
          <w:rFonts w:ascii="Arial" w:hAnsi="Arial" w:cs="Arial"/>
          <w:color w:val="000000"/>
          <w:sz w:val="21"/>
          <w:szCs w:val="21"/>
        </w:rPr>
        <w:t>元。假设销售单价增长了</w:t>
      </w:r>
      <w:r>
        <w:rPr>
          <w:rFonts w:ascii="Arial" w:hAnsi="Arial" w:cs="Arial"/>
          <w:color w:val="000000"/>
          <w:sz w:val="21"/>
          <w:szCs w:val="21"/>
        </w:rPr>
        <w:t>10%</w:t>
      </w:r>
      <w:r>
        <w:rPr>
          <w:rFonts w:ascii="Arial" w:hAnsi="Arial" w:cs="Arial"/>
          <w:color w:val="000000"/>
          <w:sz w:val="21"/>
          <w:szCs w:val="21"/>
        </w:rPr>
        <w:t>，则销售单价的第三系数</w:t>
      </w:r>
      <w:r>
        <w:rPr>
          <w:rFonts w:ascii="Arial" w:hAnsi="Arial" w:cs="Arial"/>
          <w:color w:val="000000"/>
          <w:sz w:val="21"/>
          <w:szCs w:val="21"/>
        </w:rPr>
        <w:t>(</w:t>
      </w:r>
      <w:r>
        <w:rPr>
          <w:rFonts w:ascii="Arial" w:hAnsi="Arial" w:cs="Arial"/>
          <w:color w:val="000000"/>
          <w:sz w:val="21"/>
          <w:szCs w:val="21"/>
        </w:rPr>
        <w:t>即息税前利润变化百分比相当于单价变化百分比的倍数</w:t>
      </w:r>
      <w:r>
        <w:rPr>
          <w:rFonts w:ascii="Arial" w:hAnsi="Arial" w:cs="Arial"/>
          <w:color w:val="000000"/>
          <w:sz w:val="21"/>
          <w:szCs w:val="21"/>
        </w:rPr>
        <w:t>)</w:t>
      </w:r>
      <w:r>
        <w:rPr>
          <w:rFonts w:ascii="Arial" w:hAnsi="Arial" w:cs="Arial"/>
          <w:color w:val="000000"/>
          <w:sz w:val="21"/>
          <w:szCs w:val="21"/>
        </w:rPr>
        <w:t>为</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A.0.1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B.3.75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D.3</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【解析】单价上涨前的息税前利润</w:t>
      </w:r>
      <w:r>
        <w:rPr>
          <w:rFonts w:ascii="Arial" w:hAnsi="Arial" w:cs="Arial"/>
          <w:color w:val="000000"/>
          <w:sz w:val="21"/>
          <w:szCs w:val="21"/>
        </w:rPr>
        <w:t>=10000×(300-200)-200000=800000(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单价上涨后的息税前利润</w:t>
      </w:r>
      <w:r>
        <w:rPr>
          <w:rFonts w:ascii="Arial" w:hAnsi="Arial" w:cs="Arial"/>
          <w:color w:val="000000"/>
          <w:sz w:val="21"/>
          <w:szCs w:val="21"/>
        </w:rPr>
        <w:t>=10000×[300×(1-10%)-200]-200000=1100000(</w:t>
      </w:r>
      <w:r>
        <w:rPr>
          <w:rFonts w:ascii="Arial" w:hAnsi="Arial" w:cs="Arial"/>
          <w:color w:val="000000"/>
          <w:sz w:val="21"/>
          <w:szCs w:val="21"/>
        </w:rPr>
        <w:t>元</w:t>
      </w:r>
      <w:r>
        <w:rPr>
          <w:rFonts w:ascii="Arial" w:hAnsi="Arial" w:cs="Arial"/>
          <w:color w:val="000000"/>
          <w:sz w:val="21"/>
          <w:szCs w:val="21"/>
        </w:rPr>
        <w:t>);</w:t>
      </w:r>
      <w:proofErr w:type="gramStart"/>
      <w:r>
        <w:rPr>
          <w:rFonts w:ascii="Arial" w:hAnsi="Arial" w:cs="Arial"/>
          <w:color w:val="000000"/>
          <w:sz w:val="21"/>
          <w:szCs w:val="21"/>
        </w:rPr>
        <w:t>息</w:t>
      </w:r>
      <w:proofErr w:type="gramEnd"/>
      <w:r>
        <w:rPr>
          <w:rFonts w:ascii="Arial" w:hAnsi="Arial" w:cs="Arial"/>
          <w:color w:val="000000"/>
          <w:sz w:val="21"/>
          <w:szCs w:val="21"/>
        </w:rPr>
        <w:t>税前利润增长率</w:t>
      </w:r>
      <w:r>
        <w:rPr>
          <w:rFonts w:ascii="Arial" w:hAnsi="Arial" w:cs="Arial"/>
          <w:color w:val="000000"/>
          <w:sz w:val="21"/>
          <w:szCs w:val="21"/>
        </w:rPr>
        <w:t>=(1100000-800000)/800000=37.5%</w:t>
      </w:r>
      <w:r>
        <w:rPr>
          <w:rFonts w:ascii="Arial" w:hAnsi="Arial" w:cs="Arial"/>
          <w:color w:val="000000"/>
          <w:sz w:val="21"/>
          <w:szCs w:val="21"/>
        </w:rPr>
        <w:t>，则销售价的敏感系数</w:t>
      </w:r>
      <w:r>
        <w:rPr>
          <w:rFonts w:ascii="Arial" w:hAnsi="Arial" w:cs="Arial"/>
          <w:color w:val="000000"/>
          <w:sz w:val="21"/>
          <w:szCs w:val="21"/>
        </w:rPr>
        <w:t>=37.5%/10%-3.75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五、利润敏感性分析</w:t>
      </w:r>
      <w:r>
        <w:rPr>
          <w:rFonts w:ascii="Arial" w:hAnsi="Arial" w:cs="Arial"/>
          <w:color w:val="000000"/>
          <w:sz w:val="21"/>
          <w:szCs w:val="21"/>
        </w:rPr>
        <w:t>p235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68955"/>
            <wp:effectExtent l="0" t="0" r="0" b="0"/>
            <wp:docPr id="50" name="图片 50" descr="http://img.wangxiao.cn/bjupload/2019-09-11/44723601-94da-4d51-b07b-dd0992c4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wangxiao.cn/bjupload/2019-09-11/44723601-94da-4d51-b07b-dd0992c481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30689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14.</w:t>
      </w:r>
      <w:r>
        <w:rPr>
          <w:rFonts w:ascii="Arial" w:hAnsi="Arial" w:cs="Arial"/>
          <w:color w:val="000000"/>
          <w:sz w:val="21"/>
          <w:szCs w:val="21"/>
        </w:rPr>
        <w:t>制造业企业在编制利润</w:t>
      </w:r>
      <w:proofErr w:type="gramStart"/>
      <w:r>
        <w:rPr>
          <w:rFonts w:ascii="Arial" w:hAnsi="Arial" w:cs="Arial"/>
          <w:color w:val="000000"/>
          <w:sz w:val="21"/>
          <w:szCs w:val="21"/>
        </w:rPr>
        <w:t>表预算</w:t>
      </w:r>
      <w:proofErr w:type="gramEnd"/>
      <w:r>
        <w:rPr>
          <w:rFonts w:ascii="Arial" w:hAnsi="Arial" w:cs="Arial"/>
          <w:color w:val="000000"/>
          <w:sz w:val="21"/>
          <w:szCs w:val="21"/>
        </w:rPr>
        <w:t>时，</w:t>
      </w:r>
      <w:r>
        <w:rPr>
          <w:rFonts w:ascii="Arial" w:hAnsi="Arial" w:cs="Arial"/>
          <w:color w:val="000000"/>
          <w:sz w:val="21"/>
          <w:szCs w:val="21"/>
        </w:rPr>
        <w:t>“</w:t>
      </w:r>
      <w:r>
        <w:rPr>
          <w:rFonts w:ascii="Arial" w:hAnsi="Arial" w:cs="Arial"/>
          <w:color w:val="000000"/>
          <w:sz w:val="21"/>
          <w:szCs w:val="21"/>
        </w:rPr>
        <w:t>销售成本</w:t>
      </w:r>
      <w:r>
        <w:rPr>
          <w:rFonts w:ascii="Arial" w:hAnsi="Arial" w:cs="Arial"/>
          <w:color w:val="000000"/>
          <w:sz w:val="21"/>
          <w:szCs w:val="21"/>
        </w:rPr>
        <w:t>”</w:t>
      </w:r>
      <w:r>
        <w:rPr>
          <w:rFonts w:ascii="Arial" w:hAnsi="Arial" w:cs="Arial"/>
          <w:color w:val="000000"/>
          <w:sz w:val="21"/>
          <w:szCs w:val="21"/>
        </w:rPr>
        <w:t>项目数据的来源是</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产品成本预算</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生产预算</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销售预算</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直接材料预算</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【解析】在利润</w:t>
      </w:r>
      <w:proofErr w:type="gramStart"/>
      <w:r>
        <w:rPr>
          <w:rFonts w:ascii="Arial" w:hAnsi="Arial" w:cs="Arial"/>
          <w:color w:val="000000"/>
          <w:sz w:val="21"/>
          <w:szCs w:val="21"/>
        </w:rPr>
        <w:t>表预算</w:t>
      </w:r>
      <w:proofErr w:type="gramEnd"/>
      <w:r>
        <w:rPr>
          <w:rFonts w:ascii="Arial" w:hAnsi="Arial" w:cs="Arial"/>
          <w:color w:val="000000"/>
          <w:sz w:val="21"/>
          <w:szCs w:val="21"/>
        </w:rPr>
        <w:t>的编制中，</w:t>
      </w:r>
      <w:r>
        <w:rPr>
          <w:rFonts w:ascii="Arial" w:hAnsi="Arial" w:cs="Arial"/>
          <w:color w:val="000000"/>
          <w:sz w:val="21"/>
          <w:szCs w:val="21"/>
        </w:rPr>
        <w:t>“</w:t>
      </w:r>
      <w:r>
        <w:rPr>
          <w:rFonts w:ascii="Arial" w:hAnsi="Arial" w:cs="Arial"/>
          <w:color w:val="000000"/>
          <w:sz w:val="21"/>
          <w:szCs w:val="21"/>
        </w:rPr>
        <w:t>销售成本</w:t>
      </w:r>
      <w:r>
        <w:rPr>
          <w:rFonts w:ascii="Arial" w:hAnsi="Arial" w:cs="Arial"/>
          <w:color w:val="000000"/>
          <w:sz w:val="21"/>
          <w:szCs w:val="21"/>
        </w:rPr>
        <w:t>”</w:t>
      </w:r>
      <w:r>
        <w:rPr>
          <w:rFonts w:ascii="Arial" w:hAnsi="Arial" w:cs="Arial"/>
          <w:color w:val="000000"/>
          <w:sz w:val="21"/>
          <w:szCs w:val="21"/>
        </w:rPr>
        <w:t>项目的数据来自产品成本预算</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三、财务预算的编制</w:t>
      </w:r>
      <w:r>
        <w:rPr>
          <w:rFonts w:ascii="Arial" w:hAnsi="Arial" w:cs="Arial"/>
          <w:color w:val="000000"/>
          <w:sz w:val="21"/>
          <w:szCs w:val="21"/>
        </w:rPr>
        <w:t>p70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117215"/>
            <wp:effectExtent l="0" t="0" r="0" b="6985"/>
            <wp:docPr id="49" name="图片 49" descr="http://img.wangxiao.cn/bjupload/2019-09-11/da2ae19c-3646-4433-b2a9-9bad98db7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wangxiao.cn/bjupload/2019-09-11/da2ae19c-3646-4433-b2a9-9bad98db7db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390" cy="311721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15.</w:t>
      </w:r>
      <w:r>
        <w:rPr>
          <w:rFonts w:ascii="Arial" w:hAnsi="Arial" w:cs="Arial"/>
          <w:color w:val="000000"/>
          <w:sz w:val="21"/>
          <w:szCs w:val="21"/>
        </w:rPr>
        <w:t>在利用成本模型进行最佳现金持有</w:t>
      </w:r>
      <w:proofErr w:type="gramStart"/>
      <w:r>
        <w:rPr>
          <w:rFonts w:ascii="Arial" w:hAnsi="Arial" w:cs="Arial"/>
          <w:color w:val="000000"/>
          <w:sz w:val="21"/>
          <w:szCs w:val="21"/>
        </w:rPr>
        <w:t>量决策</w:t>
      </w:r>
      <w:proofErr w:type="gramEnd"/>
      <w:r>
        <w:rPr>
          <w:rFonts w:ascii="Arial" w:hAnsi="Arial" w:cs="Arial"/>
          <w:color w:val="000000"/>
          <w:sz w:val="21"/>
          <w:szCs w:val="21"/>
        </w:rPr>
        <w:t>时，下列成本因素中未被考虑在内的是</w:t>
      </w:r>
      <w:r>
        <w:rPr>
          <w:rFonts w:ascii="Arial" w:hAnsi="Arial" w:cs="Arial"/>
          <w:color w:val="000000"/>
          <w:sz w:val="21"/>
          <w:szCs w:val="21"/>
        </w:rPr>
        <w:t>( )</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机会成本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交易成本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短缺成本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管理成本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【解析】成本模型强调的是：持有现金是有成本的，最优的现金持有量是使得现金持有成本最小化的持有量。</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成本模型考虑的现金持有成本包括：机会成本、管理成本、短缺成本。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w:t>
      </w:r>
      <w:r>
        <w:rPr>
          <w:rFonts w:ascii="Arial" w:hAnsi="Arial" w:cs="Arial"/>
          <w:color w:val="000000"/>
          <w:sz w:val="21"/>
          <w:szCs w:val="21"/>
        </w:rPr>
        <w:t>p181</w:t>
      </w:r>
      <w:r>
        <w:rPr>
          <w:rFonts w:ascii="Arial" w:hAnsi="Arial" w:cs="Arial"/>
          <w:color w:val="000000"/>
          <w:sz w:val="21"/>
          <w:szCs w:val="21"/>
        </w:rPr>
        <w:t>目标现金余额的确定</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50210"/>
            <wp:effectExtent l="0" t="0" r="0" b="2540"/>
            <wp:docPr id="48" name="图片 48" descr="http://img.wangxiao.cn/bjupload/2019-09-11/35901652-0c94-483e-b5ff-325d62176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wangxiao.cn/bjupload/2019-09-11/35901652-0c94-483e-b5ff-325d62176bb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05455"/>
            <wp:effectExtent l="0" t="0" r="0" b="4445"/>
            <wp:docPr id="47" name="图片 47" descr="http://img.wangxiao.cn/bjupload/2019-09-11/27463991-6317-4206-901d-f593175ba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wangxiao.cn/bjupload/2019-09-11/27463991-6317-4206-901d-f593175ba1d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16.</w:t>
      </w:r>
      <w:r>
        <w:rPr>
          <w:rFonts w:ascii="Arial" w:hAnsi="Arial" w:cs="Arial"/>
          <w:color w:val="000000"/>
          <w:sz w:val="21"/>
          <w:szCs w:val="21"/>
        </w:rPr>
        <w:t>如果某公司以所持有的其他公司的有价证券作为股利发放给本公司股东，则该股利支付方式属于</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负债股利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现金股利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财产股利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股票股利</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【解析】财产股利是以现金以外的其他资产支付的股利，主要是以公司所拥有的其他公司的有价证券，如债券、股票等，作为股利支付给股东。</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【考点】第九章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三、股利支付形式与程序</w:t>
      </w:r>
      <w:r>
        <w:rPr>
          <w:rFonts w:ascii="Arial" w:hAnsi="Arial" w:cs="Arial"/>
          <w:color w:val="000000"/>
          <w:sz w:val="21"/>
          <w:szCs w:val="21"/>
        </w:rPr>
        <w:t xml:space="preserve"> p304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9580"/>
            <wp:effectExtent l="0" t="0" r="0" b="1270"/>
            <wp:docPr id="46" name="图片 46" descr="http://img.wangxiao.cn/bjupload/2019-09-11/b2400d94-0c7f-4756-8969-02286556c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wangxiao.cn/bjupload/2019-09-11/b2400d94-0c7f-4756-8969-02286556c2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298958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17.</w:t>
      </w:r>
      <w:r>
        <w:rPr>
          <w:rFonts w:ascii="Arial" w:hAnsi="Arial" w:cs="Arial"/>
          <w:color w:val="000000"/>
          <w:sz w:val="21"/>
          <w:szCs w:val="21"/>
        </w:rPr>
        <w:t>某公司设立一项偿债基金项目，连续</w:t>
      </w:r>
      <w:r>
        <w:rPr>
          <w:rFonts w:ascii="Arial" w:hAnsi="Arial" w:cs="Arial"/>
          <w:color w:val="000000"/>
          <w:sz w:val="21"/>
          <w:szCs w:val="21"/>
        </w:rPr>
        <w:t>10</w:t>
      </w:r>
      <w:r>
        <w:rPr>
          <w:rFonts w:ascii="Arial" w:hAnsi="Arial" w:cs="Arial"/>
          <w:color w:val="000000"/>
          <w:sz w:val="21"/>
          <w:szCs w:val="21"/>
        </w:rPr>
        <w:t>年于每年年末存入</w:t>
      </w:r>
      <w:r>
        <w:rPr>
          <w:rFonts w:ascii="Arial" w:hAnsi="Arial" w:cs="Arial"/>
          <w:color w:val="000000"/>
          <w:sz w:val="21"/>
          <w:szCs w:val="21"/>
        </w:rPr>
        <w:t>500</w:t>
      </w:r>
      <w:r>
        <w:rPr>
          <w:rFonts w:ascii="Arial" w:hAnsi="Arial" w:cs="Arial"/>
          <w:color w:val="000000"/>
          <w:sz w:val="21"/>
          <w:szCs w:val="21"/>
        </w:rPr>
        <w:t>万元，第</w:t>
      </w:r>
      <w:r>
        <w:rPr>
          <w:rFonts w:ascii="Arial" w:hAnsi="Arial" w:cs="Arial"/>
          <w:color w:val="000000"/>
          <w:sz w:val="21"/>
          <w:szCs w:val="21"/>
        </w:rPr>
        <w:t>10</w:t>
      </w:r>
      <w:r>
        <w:rPr>
          <w:rFonts w:ascii="Arial" w:hAnsi="Arial" w:cs="Arial"/>
          <w:color w:val="000000"/>
          <w:sz w:val="21"/>
          <w:szCs w:val="21"/>
        </w:rPr>
        <w:t>年年</w:t>
      </w:r>
      <w:proofErr w:type="gramStart"/>
      <w:r>
        <w:rPr>
          <w:rFonts w:ascii="Arial" w:hAnsi="Arial" w:cs="Arial"/>
          <w:color w:val="000000"/>
          <w:sz w:val="21"/>
          <w:szCs w:val="21"/>
        </w:rPr>
        <w:t>末可</w:t>
      </w:r>
      <w:proofErr w:type="gramEnd"/>
      <w:r>
        <w:rPr>
          <w:rFonts w:ascii="Arial" w:hAnsi="Arial" w:cs="Arial"/>
          <w:color w:val="000000"/>
          <w:sz w:val="21"/>
          <w:szCs w:val="21"/>
        </w:rPr>
        <w:t>以一次性获取</w:t>
      </w:r>
      <w:r>
        <w:rPr>
          <w:rFonts w:ascii="Arial" w:hAnsi="Arial" w:cs="Arial"/>
          <w:color w:val="000000"/>
          <w:sz w:val="21"/>
          <w:szCs w:val="21"/>
        </w:rPr>
        <w:t>9000</w:t>
      </w:r>
      <w:r>
        <w:rPr>
          <w:rFonts w:ascii="Arial" w:hAnsi="Arial" w:cs="Arial"/>
          <w:color w:val="000000"/>
          <w:sz w:val="21"/>
          <w:szCs w:val="21"/>
        </w:rPr>
        <w:t>万元，已知</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8%</w:t>
      </w:r>
      <w:r>
        <w:rPr>
          <w:rFonts w:ascii="Arial" w:hAnsi="Arial" w:cs="Arial"/>
          <w:color w:val="000000"/>
          <w:sz w:val="21"/>
          <w:szCs w:val="21"/>
        </w:rPr>
        <w:t>，</w:t>
      </w:r>
      <w:r>
        <w:rPr>
          <w:rFonts w:ascii="Arial" w:hAnsi="Arial" w:cs="Arial"/>
          <w:color w:val="000000"/>
          <w:sz w:val="21"/>
          <w:szCs w:val="21"/>
        </w:rPr>
        <w:t>10)=14.487</w:t>
      </w:r>
      <w:r>
        <w:rPr>
          <w:rFonts w:ascii="Arial" w:hAnsi="Arial" w:cs="Arial"/>
          <w:color w:val="000000"/>
          <w:sz w:val="21"/>
          <w:szCs w:val="21"/>
        </w:rPr>
        <w:t>，</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10%</w:t>
      </w:r>
      <w:r>
        <w:rPr>
          <w:rFonts w:ascii="Arial" w:hAnsi="Arial" w:cs="Arial"/>
          <w:color w:val="000000"/>
          <w:sz w:val="21"/>
          <w:szCs w:val="21"/>
        </w:rPr>
        <w:t>，</w:t>
      </w:r>
      <w:r>
        <w:rPr>
          <w:rFonts w:ascii="Arial" w:hAnsi="Arial" w:cs="Arial"/>
          <w:color w:val="000000"/>
          <w:sz w:val="21"/>
          <w:szCs w:val="21"/>
        </w:rPr>
        <w:t>10)=15.937</w:t>
      </w:r>
      <w:r>
        <w:rPr>
          <w:rFonts w:ascii="Arial" w:hAnsi="Arial" w:cs="Arial"/>
          <w:color w:val="000000"/>
          <w:sz w:val="21"/>
          <w:szCs w:val="21"/>
        </w:rPr>
        <w:t>，</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12%</w:t>
      </w:r>
      <w:r>
        <w:rPr>
          <w:rFonts w:ascii="Arial" w:hAnsi="Arial" w:cs="Arial"/>
          <w:color w:val="000000"/>
          <w:sz w:val="21"/>
          <w:szCs w:val="21"/>
        </w:rPr>
        <w:t>，</w:t>
      </w:r>
      <w:r>
        <w:rPr>
          <w:rFonts w:ascii="Arial" w:hAnsi="Arial" w:cs="Arial"/>
          <w:color w:val="000000"/>
          <w:sz w:val="21"/>
          <w:szCs w:val="21"/>
        </w:rPr>
        <w:t>10)=17.549</w:t>
      </w:r>
      <w:r>
        <w:rPr>
          <w:rFonts w:ascii="Arial" w:hAnsi="Arial" w:cs="Arial"/>
          <w:color w:val="000000"/>
          <w:sz w:val="21"/>
          <w:szCs w:val="21"/>
        </w:rPr>
        <w:t>，</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14%</w:t>
      </w:r>
      <w:r>
        <w:rPr>
          <w:rFonts w:ascii="Arial" w:hAnsi="Arial" w:cs="Arial"/>
          <w:color w:val="000000"/>
          <w:sz w:val="21"/>
          <w:szCs w:val="21"/>
        </w:rPr>
        <w:t>，</w:t>
      </w:r>
      <w:r>
        <w:rPr>
          <w:rFonts w:ascii="Arial" w:hAnsi="Arial" w:cs="Arial"/>
          <w:color w:val="000000"/>
          <w:sz w:val="21"/>
          <w:szCs w:val="21"/>
        </w:rPr>
        <w:t>10)=19.337</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16%</w:t>
      </w:r>
      <w:r>
        <w:rPr>
          <w:rFonts w:ascii="Arial" w:hAnsi="Arial" w:cs="Arial"/>
          <w:color w:val="000000"/>
          <w:sz w:val="21"/>
          <w:szCs w:val="21"/>
        </w:rPr>
        <w:t>，</w:t>
      </w:r>
      <w:r>
        <w:rPr>
          <w:rFonts w:ascii="Arial" w:hAnsi="Arial" w:cs="Arial"/>
          <w:color w:val="000000"/>
          <w:sz w:val="21"/>
          <w:szCs w:val="21"/>
        </w:rPr>
        <w:t>10)=21.321</w:t>
      </w:r>
      <w:r>
        <w:rPr>
          <w:rFonts w:ascii="Arial" w:hAnsi="Arial" w:cs="Arial"/>
          <w:color w:val="000000"/>
          <w:sz w:val="21"/>
          <w:szCs w:val="21"/>
        </w:rPr>
        <w:t>，则该基金的收益率介于</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A.12%~14%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B.10%~12%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C.14%~16%</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D.8%~10%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【解析】假设该基金的收益率为</w:t>
      </w:r>
      <w:r>
        <w:rPr>
          <w:rFonts w:ascii="Arial" w:hAnsi="Arial" w:cs="Arial"/>
          <w:color w:val="000000"/>
          <w:sz w:val="21"/>
          <w:szCs w:val="21"/>
        </w:rPr>
        <w:t>i</w:t>
      </w:r>
      <w:r>
        <w:rPr>
          <w:rFonts w:ascii="Arial" w:hAnsi="Arial" w:cs="Arial"/>
          <w:color w:val="000000"/>
          <w:sz w:val="21"/>
          <w:szCs w:val="21"/>
        </w:rPr>
        <w:t>，则</w:t>
      </w:r>
      <w:r>
        <w:rPr>
          <w:rFonts w:ascii="Arial" w:hAnsi="Arial" w:cs="Arial"/>
          <w:color w:val="000000"/>
          <w:sz w:val="21"/>
          <w:szCs w:val="21"/>
        </w:rPr>
        <w:t>500×(F/A</w:t>
      </w:r>
      <w:r>
        <w:rPr>
          <w:rFonts w:ascii="Arial" w:hAnsi="Arial" w:cs="Arial"/>
          <w:color w:val="000000"/>
          <w:sz w:val="21"/>
          <w:szCs w:val="21"/>
        </w:rPr>
        <w:t>，</w:t>
      </w:r>
      <w:r>
        <w:rPr>
          <w:rFonts w:ascii="Arial" w:hAnsi="Arial" w:cs="Arial"/>
          <w:color w:val="000000"/>
          <w:sz w:val="21"/>
          <w:szCs w:val="21"/>
        </w:rPr>
        <w:t>i</w:t>
      </w:r>
      <w:r>
        <w:rPr>
          <w:rFonts w:ascii="Arial" w:hAnsi="Arial" w:cs="Arial"/>
          <w:color w:val="000000"/>
          <w:sz w:val="21"/>
          <w:szCs w:val="21"/>
        </w:rPr>
        <w:t>，</w:t>
      </w:r>
      <w:r>
        <w:rPr>
          <w:rFonts w:ascii="Arial" w:hAnsi="Arial" w:cs="Arial"/>
          <w:color w:val="000000"/>
          <w:sz w:val="21"/>
          <w:szCs w:val="21"/>
        </w:rPr>
        <w:t>10)=9000</w:t>
      </w:r>
      <w:r>
        <w:rPr>
          <w:rFonts w:ascii="Arial" w:hAnsi="Arial" w:cs="Arial"/>
          <w:color w:val="000000"/>
          <w:sz w:val="21"/>
          <w:szCs w:val="21"/>
        </w:rPr>
        <w:t>，解得：</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i</w:t>
      </w:r>
      <w:r>
        <w:rPr>
          <w:rFonts w:ascii="Arial" w:hAnsi="Arial" w:cs="Arial"/>
          <w:color w:val="000000"/>
          <w:sz w:val="21"/>
          <w:szCs w:val="21"/>
        </w:rPr>
        <w:t>，</w:t>
      </w:r>
      <w:r>
        <w:rPr>
          <w:rFonts w:ascii="Arial" w:hAnsi="Arial" w:cs="Arial"/>
          <w:color w:val="000000"/>
          <w:sz w:val="21"/>
          <w:szCs w:val="21"/>
        </w:rPr>
        <w:t>10)=18;</w:t>
      </w:r>
      <w:r>
        <w:rPr>
          <w:rFonts w:ascii="Arial" w:hAnsi="Arial" w:cs="Arial"/>
          <w:color w:val="000000"/>
          <w:sz w:val="21"/>
          <w:szCs w:val="21"/>
        </w:rPr>
        <w:t>同时</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12%</w:t>
      </w:r>
      <w:r>
        <w:rPr>
          <w:rFonts w:ascii="Arial" w:hAnsi="Arial" w:cs="Arial"/>
          <w:color w:val="000000"/>
          <w:sz w:val="21"/>
          <w:szCs w:val="21"/>
        </w:rPr>
        <w:t>，</w:t>
      </w:r>
      <w:r>
        <w:rPr>
          <w:rFonts w:ascii="Arial" w:hAnsi="Arial" w:cs="Arial"/>
          <w:color w:val="000000"/>
          <w:sz w:val="21"/>
          <w:szCs w:val="21"/>
        </w:rPr>
        <w:t>10)=17.549</w:t>
      </w:r>
      <w:r>
        <w:rPr>
          <w:rFonts w:ascii="Arial" w:hAnsi="Arial" w:cs="Arial"/>
          <w:color w:val="000000"/>
          <w:sz w:val="21"/>
          <w:szCs w:val="21"/>
        </w:rPr>
        <w:t>，</w:t>
      </w:r>
      <w:r>
        <w:rPr>
          <w:rFonts w:ascii="Arial" w:hAnsi="Arial" w:cs="Arial"/>
          <w:color w:val="000000"/>
          <w:sz w:val="21"/>
          <w:szCs w:val="21"/>
        </w:rPr>
        <w:t>(F/A</w:t>
      </w:r>
      <w:r>
        <w:rPr>
          <w:rFonts w:ascii="Arial" w:hAnsi="Arial" w:cs="Arial"/>
          <w:color w:val="000000"/>
          <w:sz w:val="21"/>
          <w:szCs w:val="21"/>
        </w:rPr>
        <w:t>，</w:t>
      </w:r>
      <w:r>
        <w:rPr>
          <w:rFonts w:ascii="Arial" w:hAnsi="Arial" w:cs="Arial"/>
          <w:color w:val="000000"/>
          <w:sz w:val="21"/>
          <w:szCs w:val="21"/>
        </w:rPr>
        <w:t>14%</w:t>
      </w:r>
      <w:r>
        <w:rPr>
          <w:rFonts w:ascii="Arial" w:hAnsi="Arial" w:cs="Arial"/>
          <w:color w:val="000000"/>
          <w:sz w:val="21"/>
          <w:szCs w:val="21"/>
        </w:rPr>
        <w:t>，</w:t>
      </w:r>
      <w:r>
        <w:rPr>
          <w:rFonts w:ascii="Arial" w:hAnsi="Arial" w:cs="Arial"/>
          <w:color w:val="000000"/>
          <w:sz w:val="21"/>
          <w:szCs w:val="21"/>
        </w:rPr>
        <w:t>10)=19.337</w:t>
      </w:r>
      <w:r>
        <w:rPr>
          <w:rFonts w:ascii="Arial" w:hAnsi="Arial" w:cs="Arial"/>
          <w:color w:val="000000"/>
          <w:sz w:val="21"/>
          <w:szCs w:val="21"/>
        </w:rPr>
        <w:t>，</w:t>
      </w:r>
      <w:r>
        <w:rPr>
          <w:rFonts w:ascii="Arial" w:hAnsi="Arial" w:cs="Arial"/>
          <w:color w:val="000000"/>
          <w:sz w:val="21"/>
          <w:szCs w:val="21"/>
        </w:rPr>
        <w:t>(F/A,16%, 10) =21.321</w:t>
      </w:r>
      <w:r>
        <w:rPr>
          <w:rFonts w:ascii="Arial" w:hAnsi="Arial" w:cs="Arial"/>
          <w:color w:val="000000"/>
          <w:sz w:val="21"/>
          <w:szCs w:val="21"/>
        </w:rPr>
        <w:t>，所以，</w:t>
      </w:r>
      <w:r>
        <w:rPr>
          <w:rFonts w:ascii="Arial" w:hAnsi="Arial" w:cs="Arial"/>
          <w:color w:val="000000"/>
          <w:sz w:val="21"/>
          <w:szCs w:val="21"/>
        </w:rPr>
        <w:t>12%&lt;i&lt;14%</w:t>
      </w:r>
      <w:r>
        <w:rPr>
          <w:rFonts w:ascii="Arial" w:hAnsi="Arial" w:cs="Arial"/>
          <w:color w:val="000000"/>
          <w:sz w:val="21"/>
          <w:szCs w:val="21"/>
        </w:rPr>
        <w:t>。</w:t>
      </w:r>
      <w:r>
        <w:rPr>
          <w:rFonts w:ascii="Arial" w:hAnsi="Arial" w:cs="Arial"/>
          <w:color w:val="000000"/>
          <w:sz w:val="21"/>
          <w:szCs w:val="21"/>
        </w:rPr>
        <w:t>&lt; p=""&gt;&lt;/i&lt;14%</w:t>
      </w:r>
      <w:r>
        <w:rPr>
          <w:rFonts w:ascii="Arial" w:hAnsi="Arial" w:cs="Arial"/>
          <w:color w:val="000000"/>
          <w:sz w:val="21"/>
          <w:szCs w:val="21"/>
        </w:rPr>
        <w:t>。</w:t>
      </w:r>
      <w:r>
        <w:rPr>
          <w:rFonts w:ascii="Arial" w:hAnsi="Arial" w:cs="Arial"/>
          <w:color w:val="000000"/>
          <w:sz w:val="21"/>
          <w:szCs w:val="21"/>
        </w:rPr>
        <w:t>&lt;&gt;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五、年偿债基金和</w:t>
      </w:r>
      <w:proofErr w:type="gramStart"/>
      <w:r>
        <w:rPr>
          <w:rFonts w:ascii="Arial" w:hAnsi="Arial" w:cs="Arial"/>
          <w:color w:val="000000"/>
          <w:sz w:val="21"/>
          <w:szCs w:val="21"/>
        </w:rPr>
        <w:t>年资本</w:t>
      </w:r>
      <w:proofErr w:type="gramEnd"/>
      <w:r>
        <w:rPr>
          <w:rFonts w:ascii="Arial" w:hAnsi="Arial" w:cs="Arial"/>
          <w:color w:val="000000"/>
          <w:sz w:val="21"/>
          <w:szCs w:val="21"/>
        </w:rPr>
        <w:t>回收额</w:t>
      </w:r>
      <w:r>
        <w:rPr>
          <w:rFonts w:ascii="Arial" w:hAnsi="Arial" w:cs="Arial"/>
          <w:color w:val="000000"/>
          <w:sz w:val="21"/>
          <w:szCs w:val="21"/>
        </w:rPr>
        <w:t xml:space="preserve"> p31</w:t>
      </w:r>
    </w:p>
    <w:p w:rsidR="004C3CFA" w:rsidRDefault="004C3CFA" w:rsidP="004C3CFA">
      <w:pPr>
        <w:pStyle w:val="a3"/>
        <w:spacing w:before="75" w:beforeAutospacing="0" w:after="75" w:afterAutospacing="0"/>
        <w:rPr>
          <w:rFonts w:ascii="Arial" w:hAnsi="Arial" w:cs="Arial"/>
          <w:color w:val="000000"/>
          <w:sz w:val="21"/>
          <w:szCs w:val="21"/>
        </w:rPr>
      </w:pP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73705"/>
            <wp:effectExtent l="0" t="0" r="0" b="0"/>
            <wp:docPr id="45" name="图片 45" descr="http://img.wangxiao.cn/bjupload/2019-09-11/d55298a2-c7b0-4fc7-b7f3-f40122800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wangxiao.cn/bjupload/2019-09-11/d55298a2-c7b0-4fc7-b7f3-f401228006d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29737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18.</w:t>
      </w:r>
      <w:r>
        <w:rPr>
          <w:rFonts w:ascii="Arial" w:hAnsi="Arial" w:cs="Arial"/>
          <w:color w:val="000000"/>
          <w:sz w:val="21"/>
          <w:szCs w:val="21"/>
        </w:rPr>
        <w:t>在责任绩效评价中，用于评价利润中心管理者业绩的理想指标是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部门税前利润</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边际贡献</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可控边际贡献</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部门边际贡献</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【解析】可控边际贡献也称部门经理边际贡献，它衡量了部门经理有效运用其控制下的资源的能力，是评价利润中心管理者业绩的理想指标。</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二、责任成本</w:t>
      </w:r>
      <w:r>
        <w:rPr>
          <w:rFonts w:ascii="Arial" w:hAnsi="Arial" w:cs="Arial"/>
          <w:color w:val="000000"/>
          <w:sz w:val="21"/>
          <w:szCs w:val="21"/>
        </w:rPr>
        <w:t>p256</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73705"/>
            <wp:effectExtent l="0" t="0" r="0" b="0"/>
            <wp:docPr id="44" name="图片 44" descr="http://img.wangxiao.cn/bjupload/2019-09-11/cc31b542-1971-4afb-a01c-0b4582e09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wangxiao.cn/bjupload/2019-09-11/cc31b542-1971-4afb-a01c-0b4582e0959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29737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19.</w:t>
      </w:r>
      <w:r>
        <w:rPr>
          <w:rFonts w:ascii="Arial" w:hAnsi="Arial" w:cs="Arial"/>
          <w:color w:val="000000"/>
          <w:sz w:val="21"/>
          <w:szCs w:val="21"/>
        </w:rPr>
        <w:t>已知当前市场的纯粹利率为</w:t>
      </w:r>
      <w:r>
        <w:rPr>
          <w:rFonts w:ascii="Arial" w:hAnsi="Arial" w:cs="Arial"/>
          <w:color w:val="000000"/>
          <w:sz w:val="21"/>
          <w:szCs w:val="21"/>
        </w:rPr>
        <w:t>1.8%</w:t>
      </w:r>
      <w:r>
        <w:rPr>
          <w:rFonts w:ascii="Arial" w:hAnsi="Arial" w:cs="Arial"/>
          <w:color w:val="000000"/>
          <w:sz w:val="21"/>
          <w:szCs w:val="21"/>
        </w:rPr>
        <w:t>，通货膨胀补偿率为</w:t>
      </w:r>
      <w:r>
        <w:rPr>
          <w:rFonts w:ascii="Arial" w:hAnsi="Arial" w:cs="Arial"/>
          <w:color w:val="000000"/>
          <w:sz w:val="21"/>
          <w:szCs w:val="21"/>
        </w:rPr>
        <w:t>2%</w:t>
      </w:r>
      <w:r>
        <w:rPr>
          <w:rFonts w:ascii="Arial" w:hAnsi="Arial" w:cs="Arial"/>
          <w:color w:val="000000"/>
          <w:sz w:val="21"/>
          <w:szCs w:val="21"/>
        </w:rPr>
        <w:t>，若某证券资产要求的风险收益率为</w:t>
      </w:r>
      <w:r>
        <w:rPr>
          <w:rFonts w:ascii="Arial" w:hAnsi="Arial" w:cs="Arial"/>
          <w:color w:val="000000"/>
          <w:sz w:val="21"/>
          <w:szCs w:val="21"/>
        </w:rPr>
        <w:t>6%</w:t>
      </w:r>
      <w:r>
        <w:rPr>
          <w:rFonts w:ascii="Arial" w:hAnsi="Arial" w:cs="Arial"/>
          <w:color w:val="000000"/>
          <w:sz w:val="21"/>
          <w:szCs w:val="21"/>
        </w:rPr>
        <w:t>，则该证券资产的必要收益率为</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A.9.8%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B.7.8%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D.9.6%</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【解析】无风险利率</w:t>
      </w:r>
      <w:r>
        <w:rPr>
          <w:rFonts w:ascii="Arial" w:hAnsi="Arial" w:cs="Arial"/>
          <w:color w:val="000000"/>
          <w:sz w:val="21"/>
          <w:szCs w:val="21"/>
        </w:rPr>
        <w:t>-</w:t>
      </w:r>
      <w:r>
        <w:rPr>
          <w:rFonts w:ascii="Arial" w:hAnsi="Arial" w:cs="Arial"/>
          <w:color w:val="000000"/>
          <w:sz w:val="21"/>
          <w:szCs w:val="21"/>
        </w:rPr>
        <w:t>纯粹利率</w:t>
      </w:r>
      <w:r>
        <w:rPr>
          <w:rFonts w:ascii="Arial" w:hAnsi="Arial" w:cs="Arial"/>
          <w:color w:val="000000"/>
          <w:sz w:val="21"/>
          <w:szCs w:val="21"/>
        </w:rPr>
        <w:t>+</w:t>
      </w:r>
      <w:r>
        <w:rPr>
          <w:rFonts w:ascii="Arial" w:hAnsi="Arial" w:cs="Arial"/>
          <w:color w:val="000000"/>
          <w:sz w:val="21"/>
          <w:szCs w:val="21"/>
        </w:rPr>
        <w:t>通货膨胀补偿率</w:t>
      </w:r>
      <w:r>
        <w:rPr>
          <w:rFonts w:ascii="Arial" w:hAnsi="Arial" w:cs="Arial"/>
          <w:color w:val="000000"/>
          <w:sz w:val="21"/>
          <w:szCs w:val="21"/>
        </w:rPr>
        <w:t>=1.8%+2%=3.8%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必要收益率</w:t>
      </w:r>
      <w:r>
        <w:rPr>
          <w:rFonts w:ascii="Arial" w:hAnsi="Arial" w:cs="Arial"/>
          <w:color w:val="000000"/>
          <w:sz w:val="21"/>
          <w:szCs w:val="21"/>
        </w:rPr>
        <w:t>=</w:t>
      </w:r>
      <w:r>
        <w:rPr>
          <w:rFonts w:ascii="Arial" w:hAnsi="Arial" w:cs="Arial"/>
          <w:color w:val="000000"/>
          <w:sz w:val="21"/>
          <w:szCs w:val="21"/>
        </w:rPr>
        <w:t>无风险利率</w:t>
      </w:r>
      <w:r>
        <w:rPr>
          <w:rFonts w:ascii="Arial" w:hAnsi="Arial" w:cs="Arial"/>
          <w:color w:val="000000"/>
          <w:sz w:val="21"/>
          <w:szCs w:val="21"/>
        </w:rPr>
        <w:t>+</w:t>
      </w:r>
      <w:r>
        <w:rPr>
          <w:rFonts w:ascii="Arial" w:hAnsi="Arial" w:cs="Arial"/>
          <w:color w:val="000000"/>
          <w:sz w:val="21"/>
          <w:szCs w:val="21"/>
        </w:rPr>
        <w:t>风险收益率</w:t>
      </w:r>
      <w:r>
        <w:rPr>
          <w:rFonts w:ascii="Arial" w:hAnsi="Arial" w:cs="Arial"/>
          <w:color w:val="000000"/>
          <w:sz w:val="21"/>
          <w:szCs w:val="21"/>
        </w:rPr>
        <w:t>=3.8%+6%=9.8%</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一、资产收益与收益率</w:t>
      </w:r>
      <w:r>
        <w:rPr>
          <w:rFonts w:ascii="Arial" w:hAnsi="Arial" w:cs="Arial"/>
          <w:color w:val="000000"/>
          <w:sz w:val="21"/>
          <w:szCs w:val="21"/>
        </w:rPr>
        <w:t>p35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2997835"/>
            <wp:effectExtent l="0" t="0" r="0" b="0"/>
            <wp:docPr id="43" name="图片 43" descr="http://img.wangxiao.cn/bjupload/2019-09-11/ae7a6bb9-aaf6-4c3f-b381-24f03e03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wangxiao.cn/bjupload/2019-09-11/ae7a6bb9-aaf6-4c3f-b381-24f03e03d0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515"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20.</w:t>
      </w:r>
      <w:r>
        <w:rPr>
          <w:rFonts w:ascii="Arial" w:hAnsi="Arial" w:cs="Arial"/>
          <w:color w:val="000000"/>
          <w:sz w:val="21"/>
          <w:szCs w:val="21"/>
        </w:rPr>
        <w:t>相对于资本市场而言，下列各项中，属于货币市场特点的是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收益高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期限长</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流动性强</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风险大</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【解析】货币市场的主要功能是调节短期资金融通。其主要特点是：</w:t>
      </w:r>
      <w:r>
        <w:rPr>
          <w:rFonts w:ascii="Arial" w:hAnsi="Arial" w:cs="Arial"/>
          <w:color w:val="000000"/>
          <w:sz w:val="21"/>
          <w:szCs w:val="21"/>
        </w:rPr>
        <w:t>(1)</w:t>
      </w:r>
      <w:r>
        <w:rPr>
          <w:rFonts w:ascii="Arial" w:hAnsi="Arial" w:cs="Arial"/>
          <w:color w:val="000000"/>
          <w:sz w:val="21"/>
          <w:szCs w:val="21"/>
        </w:rPr>
        <w:t>期限短</w:t>
      </w:r>
      <w:r>
        <w:rPr>
          <w:rFonts w:ascii="Arial" w:hAnsi="Arial" w:cs="Arial"/>
          <w:color w:val="000000"/>
          <w:sz w:val="21"/>
          <w:szCs w:val="21"/>
        </w:rPr>
        <w:t>;(2)</w:t>
      </w:r>
      <w:r>
        <w:rPr>
          <w:rFonts w:ascii="Arial" w:hAnsi="Arial" w:cs="Arial"/>
          <w:color w:val="000000"/>
          <w:sz w:val="21"/>
          <w:szCs w:val="21"/>
        </w:rPr>
        <w:t>交易目的是解决短期资金周转</w:t>
      </w:r>
      <w:r>
        <w:rPr>
          <w:rFonts w:ascii="Arial" w:hAnsi="Arial" w:cs="Arial"/>
          <w:color w:val="000000"/>
          <w:sz w:val="21"/>
          <w:szCs w:val="21"/>
        </w:rPr>
        <w:t>;(3)</w:t>
      </w:r>
      <w:r>
        <w:rPr>
          <w:rFonts w:ascii="Arial" w:hAnsi="Arial" w:cs="Arial"/>
          <w:color w:val="000000"/>
          <w:sz w:val="21"/>
          <w:szCs w:val="21"/>
        </w:rPr>
        <w:t>货币市场上的金融工具有较强的</w:t>
      </w:r>
      <w:r>
        <w:rPr>
          <w:rFonts w:ascii="Arial" w:hAnsi="Arial" w:cs="Arial"/>
          <w:color w:val="000000"/>
          <w:sz w:val="21"/>
          <w:szCs w:val="21"/>
        </w:rPr>
        <w:t>“</w:t>
      </w:r>
      <w:r>
        <w:rPr>
          <w:rFonts w:ascii="Arial" w:hAnsi="Arial" w:cs="Arial"/>
          <w:color w:val="000000"/>
          <w:sz w:val="21"/>
          <w:szCs w:val="21"/>
        </w:rPr>
        <w:t>货币性</w:t>
      </w:r>
      <w:r>
        <w:rPr>
          <w:rFonts w:ascii="Arial" w:hAnsi="Arial" w:cs="Arial"/>
          <w:color w:val="000000"/>
          <w:sz w:val="21"/>
          <w:szCs w:val="21"/>
        </w:rPr>
        <w:t>”</w:t>
      </w:r>
      <w:r>
        <w:rPr>
          <w:rFonts w:ascii="Arial" w:hAnsi="Arial" w:cs="Arial"/>
          <w:color w:val="000000"/>
          <w:sz w:val="21"/>
          <w:szCs w:val="21"/>
        </w:rPr>
        <w:t>，具有流动性强、价格平稳、风险较小等特性。</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第五节</w:t>
      </w:r>
      <w:r>
        <w:rPr>
          <w:rFonts w:ascii="Arial" w:hAnsi="Arial" w:cs="Arial"/>
          <w:color w:val="000000"/>
          <w:sz w:val="21"/>
          <w:szCs w:val="21"/>
        </w:rPr>
        <w:t xml:space="preserve"> </w:t>
      </w:r>
      <w:r>
        <w:rPr>
          <w:rFonts w:ascii="Arial" w:hAnsi="Arial" w:cs="Arial"/>
          <w:color w:val="000000"/>
          <w:sz w:val="21"/>
          <w:szCs w:val="21"/>
        </w:rPr>
        <w:t>三、金融环境</w:t>
      </w:r>
      <w:r>
        <w:rPr>
          <w:rFonts w:ascii="Arial" w:hAnsi="Arial" w:cs="Arial"/>
          <w:color w:val="000000"/>
          <w:sz w:val="21"/>
          <w:szCs w:val="21"/>
        </w:rPr>
        <w:t xml:space="preserve"> p20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05455"/>
            <wp:effectExtent l="0" t="0" r="0" b="4445"/>
            <wp:docPr id="42" name="图片 42" descr="http://img.wangxiao.cn/bjupload/2019-09-11/66122982-74d3-4f70-80b7-34c35e815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wangxiao.cn/bjupload/2019-09-11/66122982-74d3-4f70-80b7-34c35e81562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w:t>
      </w:r>
      <w:r>
        <w:rPr>
          <w:rFonts w:ascii="Arial" w:hAnsi="Arial" w:cs="Arial"/>
          <w:color w:val="000000"/>
          <w:sz w:val="21"/>
          <w:szCs w:val="21"/>
        </w:rPr>
        <w:t>关于获取现金能力的有关财务指标，下列表述中正确的是</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全部资产现金回收率指标不能反映公司获取现金的能力</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用长期借款方式购买固定资产会影响营业现金比率</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公司将销售政策由赊销调整为现销方式后，不会对营业现金比率产生影响</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每股营业现金净流量是经营活动现金流量净额与普通股股数之比</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【解析】每股营业现金净流量是通过企业经营活动现金流量净额与普通股股数之比来反映的。</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【考点】第十章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五、现金流量分析</w:t>
      </w:r>
      <w:r>
        <w:rPr>
          <w:rFonts w:ascii="Arial" w:hAnsi="Arial" w:cs="Arial"/>
          <w:color w:val="000000"/>
          <w:sz w:val="21"/>
          <w:szCs w:val="21"/>
        </w:rPr>
        <w:t>p334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1960"/>
            <wp:effectExtent l="0" t="0" r="0" b="8890"/>
            <wp:docPr id="41" name="图片 41" descr="http://img.wangxiao.cn/bjupload/2019-09-11/cb406a50-e6f5-42c7-b8ba-90be66e8c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wangxiao.cn/bjupload/2019-09-11/cb406a50-e6f5-42c7-b8ba-90be66e8ca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29819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w:t>
      </w:r>
      <w:r>
        <w:rPr>
          <w:rFonts w:ascii="Arial" w:hAnsi="Arial" w:cs="Arial"/>
          <w:color w:val="000000"/>
          <w:sz w:val="21"/>
          <w:szCs w:val="21"/>
        </w:rPr>
        <w:t>相对于普通股筹资，下列属于留存收益筹资特点的是</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资本成本较高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筹资数额较大</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增强公司的声誉</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不发生筹资费用</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【解析】企业从外界筹集长期资本，与普通股筹资相比较，留存收益筹资不需要发生筹资费用，资本成本较低。</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三、留存收益</w:t>
      </w:r>
      <w:r>
        <w:rPr>
          <w:rFonts w:ascii="Arial" w:hAnsi="Arial" w:cs="Arial"/>
          <w:color w:val="000000"/>
          <w:sz w:val="21"/>
          <w:szCs w:val="21"/>
        </w:rPr>
        <w:t>p102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3021330"/>
            <wp:effectExtent l="0" t="0" r="0" b="7620"/>
            <wp:docPr id="40" name="图片 40" descr="http://img.wangxiao.cn/bjupload/2019-09-11/303ec76d-733c-45d6-965b-224e3275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wangxiao.cn/bjupload/2019-09-11/303ec76d-733c-45d6-965b-224e327566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23.</w:t>
      </w:r>
      <w:r>
        <w:rPr>
          <w:rFonts w:ascii="Arial" w:hAnsi="Arial" w:cs="Arial"/>
          <w:color w:val="000000"/>
          <w:sz w:val="21"/>
          <w:szCs w:val="21"/>
        </w:rPr>
        <w:t>某公司编制下一年度的生产预算，每季度末产成品存货按照下季度销量的</w:t>
      </w:r>
      <w:r>
        <w:rPr>
          <w:rFonts w:ascii="Arial" w:hAnsi="Arial" w:cs="Arial"/>
          <w:color w:val="000000"/>
          <w:sz w:val="21"/>
          <w:szCs w:val="21"/>
        </w:rPr>
        <w:t>20%</w:t>
      </w:r>
      <w:r>
        <w:rPr>
          <w:rFonts w:ascii="Arial" w:hAnsi="Arial" w:cs="Arial"/>
          <w:color w:val="000000"/>
          <w:sz w:val="21"/>
          <w:szCs w:val="21"/>
        </w:rPr>
        <w:t>予以安排，预计第二季度和第三季度销量分别为</w:t>
      </w:r>
      <w:r>
        <w:rPr>
          <w:rFonts w:ascii="Arial" w:hAnsi="Arial" w:cs="Arial"/>
          <w:color w:val="000000"/>
          <w:sz w:val="21"/>
          <w:szCs w:val="21"/>
        </w:rPr>
        <w:t>150</w:t>
      </w:r>
      <w:r>
        <w:rPr>
          <w:rFonts w:ascii="Arial" w:hAnsi="Arial" w:cs="Arial"/>
          <w:color w:val="000000"/>
          <w:sz w:val="21"/>
          <w:szCs w:val="21"/>
        </w:rPr>
        <w:t>件和</w:t>
      </w:r>
      <w:r>
        <w:rPr>
          <w:rFonts w:ascii="Arial" w:hAnsi="Arial" w:cs="Arial"/>
          <w:color w:val="000000"/>
          <w:sz w:val="21"/>
          <w:szCs w:val="21"/>
        </w:rPr>
        <w:t>200</w:t>
      </w:r>
      <w:r>
        <w:rPr>
          <w:rFonts w:ascii="Arial" w:hAnsi="Arial" w:cs="Arial"/>
          <w:color w:val="000000"/>
          <w:sz w:val="21"/>
          <w:szCs w:val="21"/>
        </w:rPr>
        <w:t>件，则第二季度的预计生产量</w:t>
      </w:r>
      <w:r>
        <w:rPr>
          <w:rFonts w:ascii="Arial" w:hAnsi="Arial" w:cs="Arial"/>
          <w:color w:val="000000"/>
          <w:sz w:val="21"/>
          <w:szCs w:val="21"/>
        </w:rPr>
        <w:t>()</w:t>
      </w:r>
      <w:r>
        <w:rPr>
          <w:rFonts w:ascii="Arial" w:hAnsi="Arial" w:cs="Arial"/>
          <w:color w:val="000000"/>
          <w:sz w:val="21"/>
          <w:szCs w:val="21"/>
        </w:rPr>
        <w:t>件。</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A.140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B.170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C.190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D.160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【解析】第二季度的预计生产量</w:t>
      </w:r>
      <w:r>
        <w:rPr>
          <w:rFonts w:ascii="Arial" w:hAnsi="Arial" w:cs="Arial"/>
          <w:color w:val="000000"/>
          <w:sz w:val="21"/>
          <w:szCs w:val="21"/>
        </w:rPr>
        <w:t>=150+200× 20%-150 ×20%-160(</w:t>
      </w:r>
      <w:r>
        <w:rPr>
          <w:rFonts w:ascii="Arial" w:hAnsi="Arial" w:cs="Arial"/>
          <w:color w:val="000000"/>
          <w:sz w:val="21"/>
          <w:szCs w:val="21"/>
        </w:rPr>
        <w:t>件</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一、业务预算的编制</w:t>
      </w:r>
      <w:r>
        <w:rPr>
          <w:rFonts w:ascii="Arial" w:hAnsi="Arial" w:cs="Arial"/>
          <w:color w:val="000000"/>
          <w:sz w:val="21"/>
          <w:szCs w:val="21"/>
        </w:rPr>
        <w:t>p65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3021330"/>
            <wp:effectExtent l="0" t="0" r="0" b="7620"/>
            <wp:docPr id="39" name="图片 39" descr="http://img.wangxiao.cn/bjupload/2019-09-11/537880b3-d227-443c-8b90-3c27fd32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angxiao.cn/bjupload/2019-09-11/537880b3-d227-443c-8b90-3c27fd3263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24.</w:t>
      </w:r>
      <w:r>
        <w:rPr>
          <w:rFonts w:ascii="Arial" w:hAnsi="Arial" w:cs="Arial"/>
          <w:color w:val="000000"/>
          <w:sz w:val="21"/>
          <w:szCs w:val="21"/>
        </w:rPr>
        <w:t>某企业根据过去一段时期的业务量和混合成本资料，应用最小二乘法原理，寻求最能代表二者关系的函数表达式，据以对混合成本进行分解，则该企业采用的混合成本分解法</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回归分析法</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高低点法</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账户分析法</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技术测定法</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回归分析法是一种较为精确的方法，它根据过去一定期间的业务量和混合成本的历史资料，应用最小二乘法原理，算出最能代表业务量与混合成本关系的回归直线，借以确定混合成本中固定成本和变动成本的方法。</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三、混合成本</w:t>
      </w:r>
      <w:r>
        <w:rPr>
          <w:rFonts w:ascii="Arial" w:hAnsi="Arial" w:cs="Arial"/>
          <w:color w:val="000000"/>
          <w:sz w:val="21"/>
          <w:szCs w:val="21"/>
        </w:rPr>
        <w:t xml:space="preserve"> p52</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1960"/>
            <wp:effectExtent l="0" t="0" r="0" b="8890"/>
            <wp:docPr id="38" name="图片 38" descr="http://img.wangxiao.cn/bjupload/2019-09-11/3567b97b-c3e2-4a9d-afe1-a8273e4ca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wangxiao.cn/bjupload/2019-09-11/3567b97b-c3e2-4a9d-afe1-a8273e4ca02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29819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4C3CFA" w:rsidRDefault="004C3CFA" w:rsidP="004C3CFA">
      <w:pPr>
        <w:pStyle w:val="a3"/>
        <w:spacing w:before="75" w:beforeAutospacing="0" w:after="75" w:afterAutospacing="0"/>
        <w:rPr>
          <w:rFonts w:ascii="Arial" w:hAnsi="Arial" w:cs="Arial"/>
          <w:color w:val="000000"/>
          <w:sz w:val="21"/>
          <w:szCs w:val="21"/>
        </w:rPr>
      </w:pPr>
      <w:hyperlink r:id="rId33"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4C3CFA" w:rsidRDefault="004C3CFA" w:rsidP="004C3CFA">
      <w:pPr>
        <w:pStyle w:val="a3"/>
        <w:spacing w:before="75" w:beforeAutospacing="0" w:after="75" w:afterAutospacing="0"/>
        <w:rPr>
          <w:rFonts w:ascii="Arial" w:hAnsi="Arial" w:cs="Arial"/>
          <w:color w:val="000000"/>
          <w:sz w:val="21"/>
          <w:szCs w:val="21"/>
        </w:rPr>
      </w:pPr>
      <w:hyperlink r:id="rId34"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4C3CFA" w:rsidRDefault="004C3CFA" w:rsidP="004C3CFA">
      <w:pPr>
        <w:pStyle w:val="a3"/>
        <w:spacing w:before="75" w:beforeAutospacing="0" w:after="75" w:afterAutospacing="0"/>
        <w:rPr>
          <w:rFonts w:ascii="Arial" w:hAnsi="Arial" w:cs="Arial"/>
          <w:color w:val="000000"/>
          <w:sz w:val="21"/>
          <w:szCs w:val="21"/>
        </w:rPr>
      </w:pP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多选题</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二、多选题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根据有关要求，企业存在稀释性潜在普通股的，应当计算稀释每股收益，下列属于潜在普通股的有</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可转换公司债</w:t>
      </w:r>
      <w:proofErr w:type="gramStart"/>
      <w:r>
        <w:rPr>
          <w:rFonts w:ascii="Arial" w:hAnsi="Arial" w:cs="Arial"/>
          <w:color w:val="000000"/>
          <w:sz w:val="21"/>
          <w:szCs w:val="21"/>
        </w:rPr>
        <w:t>券</w:t>
      </w:r>
      <w:proofErr w:type="gramEnd"/>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股份期权</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认股权证</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不可转换优先股</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【解析】稀释性潜在普通股指假设当期转换为普通股会减少每股收益的潜在普通股。潜在普通股主要包括：可转换公司债</w:t>
      </w:r>
      <w:proofErr w:type="gramStart"/>
      <w:r>
        <w:rPr>
          <w:rFonts w:ascii="Arial" w:hAnsi="Arial" w:cs="Arial"/>
          <w:color w:val="000000"/>
          <w:sz w:val="21"/>
          <w:szCs w:val="21"/>
        </w:rPr>
        <w:t>券</w:t>
      </w:r>
      <w:proofErr w:type="gramEnd"/>
      <w:r>
        <w:rPr>
          <w:rFonts w:ascii="Arial" w:hAnsi="Arial" w:cs="Arial"/>
          <w:color w:val="000000"/>
          <w:sz w:val="21"/>
          <w:szCs w:val="21"/>
        </w:rPr>
        <w:t>、认股权证和股份期权等。</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【考点】第十章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一、上市公司特殊财务分析指标</w:t>
      </w:r>
      <w:r>
        <w:rPr>
          <w:rFonts w:ascii="Arial" w:hAnsi="Arial" w:cs="Arial"/>
          <w:color w:val="000000"/>
          <w:sz w:val="21"/>
          <w:szCs w:val="21"/>
        </w:rPr>
        <w:t xml:space="preserve"> P337</w:t>
      </w:r>
    </w:p>
    <w:p w:rsidR="004C3CFA" w:rsidRDefault="004C3CFA" w:rsidP="004C3CFA">
      <w:pPr>
        <w:pStyle w:val="a3"/>
        <w:spacing w:before="75" w:beforeAutospacing="0" w:after="75" w:afterAutospacing="0"/>
        <w:rPr>
          <w:rFonts w:ascii="Arial" w:hAnsi="Arial" w:cs="Arial"/>
          <w:color w:val="000000"/>
          <w:sz w:val="21"/>
          <w:szCs w:val="21"/>
        </w:rPr>
      </w:pP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84830"/>
            <wp:effectExtent l="0" t="0" r="0" b="1270"/>
            <wp:docPr id="37" name="图片 37" descr="http://img.wangxiao.cn/bjupload/2019-09-11/2eb7a830-a699-47b0-bfa7-11bd9a150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wangxiao.cn/bjupload/2019-09-11/2eb7a830-a699-47b0-bfa7-11bd9a150d8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308483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假设某股份公司按照</w:t>
      </w:r>
      <w:r>
        <w:rPr>
          <w:rFonts w:ascii="Arial" w:hAnsi="Arial" w:cs="Arial"/>
          <w:color w:val="000000"/>
          <w:sz w:val="21"/>
          <w:szCs w:val="21"/>
        </w:rPr>
        <w:t>1</w:t>
      </w: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的比例进行股票分割，下列正确的有</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股本总额增加一倍</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每股净资产保持不变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股东权益总额保持不变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股东权益内部结构保持不变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【解析】股票分割之后，股东权益总额及其内部结构都不会发生任何变化。因为股数增加，股东权益总额不变，所以每股净资产下降。</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【考点】第九章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四、股票分割与股票回购</w:t>
      </w:r>
      <w:r>
        <w:rPr>
          <w:rFonts w:ascii="Arial" w:hAnsi="Arial" w:cs="Arial"/>
          <w:color w:val="000000"/>
          <w:sz w:val="21"/>
          <w:szCs w:val="21"/>
        </w:rPr>
        <w:t xml:space="preserve"> p306</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05455"/>
            <wp:effectExtent l="0" t="0" r="0" b="4445"/>
            <wp:docPr id="36" name="图片 36" descr="http://img.wangxiao.cn/bjupload/2019-09-11/8d9fd647-91de-4a6f-a95a-f9baf5f046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wangxiao.cn/bjupload/2019-09-11/8d9fd647-91de-4a6f-a95a-f9baf5f0467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在我国，关于短期融资</w:t>
      </w:r>
      <w:proofErr w:type="gramStart"/>
      <w:r>
        <w:rPr>
          <w:rFonts w:ascii="Arial" w:hAnsi="Arial" w:cs="Arial"/>
          <w:color w:val="000000"/>
          <w:sz w:val="21"/>
          <w:szCs w:val="21"/>
        </w:rPr>
        <w:t>券</w:t>
      </w:r>
      <w:proofErr w:type="gramEnd"/>
      <w:r>
        <w:rPr>
          <w:rFonts w:ascii="Arial" w:hAnsi="Arial" w:cs="Arial"/>
          <w:color w:val="000000"/>
          <w:sz w:val="21"/>
          <w:szCs w:val="21"/>
        </w:rPr>
        <w:t>，正确的有</w:t>
      </w:r>
      <w:r>
        <w:rPr>
          <w:rFonts w:ascii="Arial" w:hAnsi="Arial" w:cs="Arial"/>
          <w:color w:val="000000"/>
          <w:sz w:val="21"/>
          <w:szCs w:val="21"/>
        </w:rPr>
        <w:t>( )</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相对于银行借款，其信用等级要求较高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相对于商业信用，其偿还方式比较灵活</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相对于企业债券，其筹资成本较高</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相对于银行借款，其一次性筹资金额较大</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【解析】商业信用，企业能够根据需要，选择决定筹资的金额大小和期限长短，同样要比银行借款等其他方式灵活得多，甚至如果在期限内不能付款或交货时，一般还可以通过与客户的协商，请求延长时限。选项</w:t>
      </w:r>
      <w:r>
        <w:rPr>
          <w:rFonts w:ascii="Arial" w:hAnsi="Arial" w:cs="Arial"/>
          <w:color w:val="000000"/>
          <w:sz w:val="21"/>
          <w:szCs w:val="21"/>
        </w:rPr>
        <w:t>B</w:t>
      </w:r>
      <w:r>
        <w:rPr>
          <w:rFonts w:ascii="Arial" w:hAnsi="Arial" w:cs="Arial"/>
          <w:color w:val="000000"/>
          <w:sz w:val="21"/>
          <w:szCs w:val="21"/>
        </w:rPr>
        <w:t>错误。短期融资</w:t>
      </w:r>
      <w:proofErr w:type="gramStart"/>
      <w:r>
        <w:rPr>
          <w:rFonts w:ascii="Arial" w:hAnsi="Arial" w:cs="Arial"/>
          <w:color w:val="000000"/>
          <w:sz w:val="21"/>
          <w:szCs w:val="21"/>
        </w:rPr>
        <w:t>券</w:t>
      </w:r>
      <w:proofErr w:type="gramEnd"/>
      <w:r>
        <w:rPr>
          <w:rFonts w:ascii="Arial" w:hAnsi="Arial" w:cs="Arial"/>
          <w:color w:val="000000"/>
          <w:sz w:val="21"/>
          <w:szCs w:val="21"/>
        </w:rPr>
        <w:t>相对于发行公司债券筹资而言，发行短期融资</w:t>
      </w:r>
      <w:proofErr w:type="gramStart"/>
      <w:r>
        <w:rPr>
          <w:rFonts w:ascii="Arial" w:hAnsi="Arial" w:cs="Arial"/>
          <w:color w:val="000000"/>
          <w:sz w:val="21"/>
          <w:szCs w:val="21"/>
        </w:rPr>
        <w:t>券</w:t>
      </w:r>
      <w:proofErr w:type="gramEnd"/>
      <w:r>
        <w:rPr>
          <w:rFonts w:ascii="Arial" w:hAnsi="Arial" w:cs="Arial"/>
          <w:color w:val="000000"/>
          <w:sz w:val="21"/>
          <w:szCs w:val="21"/>
        </w:rPr>
        <w:t>的筹资成本较低。选项</w:t>
      </w:r>
      <w:r>
        <w:rPr>
          <w:rFonts w:ascii="Arial" w:hAnsi="Arial" w:cs="Arial"/>
          <w:color w:val="000000"/>
          <w:sz w:val="21"/>
          <w:szCs w:val="21"/>
        </w:rPr>
        <w:t>C</w:t>
      </w:r>
      <w:r>
        <w:rPr>
          <w:rFonts w:ascii="Arial" w:hAnsi="Arial" w:cs="Arial"/>
          <w:color w:val="000000"/>
          <w:sz w:val="21"/>
          <w:szCs w:val="21"/>
        </w:rPr>
        <w:t>错误。</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第五节</w:t>
      </w:r>
      <w:r>
        <w:rPr>
          <w:rFonts w:ascii="Arial" w:hAnsi="Arial" w:cs="Arial"/>
          <w:color w:val="000000"/>
          <w:sz w:val="21"/>
          <w:szCs w:val="21"/>
        </w:rPr>
        <w:t xml:space="preserve"> </w:t>
      </w:r>
      <w:r>
        <w:rPr>
          <w:rFonts w:ascii="Arial" w:hAnsi="Arial" w:cs="Arial"/>
          <w:color w:val="000000"/>
          <w:sz w:val="21"/>
          <w:szCs w:val="21"/>
        </w:rPr>
        <w:t>二、短期融资</w:t>
      </w:r>
      <w:proofErr w:type="gramStart"/>
      <w:r>
        <w:rPr>
          <w:rFonts w:ascii="Arial" w:hAnsi="Arial" w:cs="Arial"/>
          <w:color w:val="000000"/>
          <w:sz w:val="21"/>
          <w:szCs w:val="21"/>
        </w:rPr>
        <w:t>券</w:t>
      </w:r>
      <w:proofErr w:type="gramEnd"/>
      <w:r>
        <w:rPr>
          <w:rFonts w:ascii="Arial" w:hAnsi="Arial" w:cs="Arial"/>
          <w:color w:val="000000"/>
          <w:sz w:val="21"/>
          <w:szCs w:val="21"/>
        </w:rPr>
        <w:t>p214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9580"/>
            <wp:effectExtent l="0" t="0" r="0" b="1270"/>
            <wp:docPr id="35" name="图片 35" descr="http://img.wangxiao.cn/bjupload/2019-09-11/05ec38d3-cf32-4510-baef-1b99b709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wangxiao.cn/bjupload/2019-09-11/05ec38d3-cf32-4510-baef-1b99b70994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298958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在单一产品量本利分析中，下列成立的有</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保本作业率</w:t>
      </w:r>
      <w:r>
        <w:rPr>
          <w:rFonts w:ascii="Arial" w:hAnsi="Arial" w:cs="Arial"/>
          <w:color w:val="000000"/>
          <w:sz w:val="21"/>
          <w:szCs w:val="21"/>
        </w:rPr>
        <w:t>+</w:t>
      </w:r>
      <w:r>
        <w:rPr>
          <w:rFonts w:ascii="Arial" w:hAnsi="Arial" w:cs="Arial"/>
          <w:color w:val="000000"/>
          <w:sz w:val="21"/>
          <w:szCs w:val="21"/>
        </w:rPr>
        <w:t>安全边际率</w:t>
      </w:r>
      <w:r>
        <w:rPr>
          <w:rFonts w:ascii="Arial" w:hAnsi="Arial" w:cs="Arial"/>
          <w:color w:val="000000"/>
          <w:sz w:val="21"/>
          <w:szCs w:val="21"/>
        </w:rPr>
        <w:t>=1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变动成本率</w:t>
      </w:r>
      <w:r>
        <w:rPr>
          <w:rFonts w:ascii="Arial" w:hAnsi="Arial" w:cs="Arial"/>
          <w:color w:val="000000"/>
          <w:sz w:val="21"/>
          <w:szCs w:val="21"/>
        </w:rPr>
        <w:t>×</w:t>
      </w:r>
      <w:r>
        <w:rPr>
          <w:rFonts w:ascii="Arial" w:hAnsi="Arial" w:cs="Arial"/>
          <w:color w:val="000000"/>
          <w:sz w:val="21"/>
          <w:szCs w:val="21"/>
        </w:rPr>
        <w:t>营业毛利率</w:t>
      </w:r>
      <w:r>
        <w:rPr>
          <w:rFonts w:ascii="Arial" w:hAnsi="Arial" w:cs="Arial"/>
          <w:color w:val="000000"/>
          <w:sz w:val="21"/>
          <w:szCs w:val="21"/>
        </w:rPr>
        <w:t>=</w:t>
      </w:r>
      <w:r>
        <w:rPr>
          <w:rFonts w:ascii="Arial" w:hAnsi="Arial" w:cs="Arial"/>
          <w:color w:val="000000"/>
          <w:sz w:val="21"/>
          <w:szCs w:val="21"/>
        </w:rPr>
        <w:t>边际贡献率</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安全边际率</w:t>
      </w:r>
      <w:r>
        <w:rPr>
          <w:rFonts w:ascii="Arial" w:hAnsi="Arial" w:cs="Arial"/>
          <w:color w:val="000000"/>
          <w:sz w:val="21"/>
          <w:szCs w:val="21"/>
        </w:rPr>
        <w:t>×</w:t>
      </w:r>
      <w:r>
        <w:rPr>
          <w:rFonts w:ascii="Arial" w:hAnsi="Arial" w:cs="Arial"/>
          <w:color w:val="000000"/>
          <w:sz w:val="21"/>
          <w:szCs w:val="21"/>
        </w:rPr>
        <w:t>边际贡献率</w:t>
      </w:r>
      <w:r>
        <w:rPr>
          <w:rFonts w:ascii="Arial" w:hAnsi="Arial" w:cs="Arial"/>
          <w:color w:val="000000"/>
          <w:sz w:val="21"/>
          <w:szCs w:val="21"/>
        </w:rPr>
        <w:t>=</w:t>
      </w:r>
      <w:r>
        <w:rPr>
          <w:rFonts w:ascii="Arial" w:hAnsi="Arial" w:cs="Arial"/>
          <w:color w:val="000000"/>
          <w:sz w:val="21"/>
          <w:szCs w:val="21"/>
        </w:rPr>
        <w:t>销售利润率</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变动成本率</w:t>
      </w:r>
      <w:r>
        <w:rPr>
          <w:rFonts w:ascii="Arial" w:hAnsi="Arial" w:cs="Arial"/>
          <w:color w:val="000000"/>
          <w:sz w:val="21"/>
          <w:szCs w:val="21"/>
        </w:rPr>
        <w:t>+</w:t>
      </w:r>
      <w:r>
        <w:rPr>
          <w:rFonts w:ascii="Arial" w:hAnsi="Arial" w:cs="Arial"/>
          <w:color w:val="000000"/>
          <w:sz w:val="21"/>
          <w:szCs w:val="21"/>
        </w:rPr>
        <w:t>边际贡献率</w:t>
      </w:r>
      <w:r>
        <w:rPr>
          <w:rFonts w:ascii="Arial" w:hAnsi="Arial" w:cs="Arial"/>
          <w:color w:val="000000"/>
          <w:sz w:val="21"/>
          <w:szCs w:val="21"/>
        </w:rPr>
        <w:t>=1</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【解析】边际贡献率</w:t>
      </w:r>
      <w:r>
        <w:rPr>
          <w:rFonts w:ascii="Arial" w:hAnsi="Arial" w:cs="Arial"/>
          <w:color w:val="000000"/>
          <w:sz w:val="21"/>
          <w:szCs w:val="21"/>
        </w:rPr>
        <w:t>=(</w:t>
      </w:r>
      <w:r>
        <w:rPr>
          <w:rFonts w:ascii="Arial" w:hAnsi="Arial" w:cs="Arial"/>
          <w:color w:val="000000"/>
          <w:sz w:val="21"/>
          <w:szCs w:val="21"/>
        </w:rPr>
        <w:t>单价</w:t>
      </w:r>
      <w:r>
        <w:rPr>
          <w:rFonts w:ascii="Arial" w:hAnsi="Arial" w:cs="Arial"/>
          <w:color w:val="000000"/>
          <w:sz w:val="21"/>
          <w:szCs w:val="21"/>
        </w:rPr>
        <w:t>-</w:t>
      </w:r>
      <w:r>
        <w:rPr>
          <w:rFonts w:ascii="Arial" w:hAnsi="Arial" w:cs="Arial"/>
          <w:color w:val="000000"/>
          <w:sz w:val="21"/>
          <w:szCs w:val="21"/>
        </w:rPr>
        <w:t>单位变动成本</w:t>
      </w:r>
      <w:r>
        <w:rPr>
          <w:rFonts w:ascii="Arial" w:hAnsi="Arial" w:cs="Arial"/>
          <w:color w:val="000000"/>
          <w:sz w:val="21"/>
          <w:szCs w:val="21"/>
        </w:rPr>
        <w:t>)/</w:t>
      </w:r>
      <w:r>
        <w:rPr>
          <w:rFonts w:ascii="Arial" w:hAnsi="Arial" w:cs="Arial"/>
          <w:color w:val="000000"/>
          <w:sz w:val="21"/>
          <w:szCs w:val="21"/>
        </w:rPr>
        <w:t>单价</w:t>
      </w:r>
      <w:r>
        <w:rPr>
          <w:rFonts w:ascii="Arial" w:hAnsi="Arial" w:cs="Arial"/>
          <w:color w:val="000000"/>
          <w:sz w:val="21"/>
          <w:szCs w:val="21"/>
        </w:rPr>
        <w:t>=1-</w:t>
      </w:r>
      <w:r>
        <w:rPr>
          <w:rFonts w:ascii="Arial" w:hAnsi="Arial" w:cs="Arial"/>
          <w:color w:val="000000"/>
          <w:sz w:val="21"/>
          <w:szCs w:val="21"/>
        </w:rPr>
        <w:t>单位变动成本</w:t>
      </w:r>
      <w:r>
        <w:rPr>
          <w:rFonts w:ascii="Arial" w:hAnsi="Arial" w:cs="Arial"/>
          <w:color w:val="000000"/>
          <w:sz w:val="21"/>
          <w:szCs w:val="21"/>
        </w:rPr>
        <w:t>/</w:t>
      </w:r>
      <w:r>
        <w:rPr>
          <w:rFonts w:ascii="Arial" w:hAnsi="Arial" w:cs="Arial"/>
          <w:color w:val="000000"/>
          <w:sz w:val="21"/>
          <w:szCs w:val="21"/>
        </w:rPr>
        <w:t>单价</w:t>
      </w:r>
      <w:r>
        <w:rPr>
          <w:rFonts w:ascii="Arial" w:hAnsi="Arial" w:cs="Arial"/>
          <w:color w:val="000000"/>
          <w:sz w:val="21"/>
          <w:szCs w:val="21"/>
        </w:rPr>
        <w:t>=1-</w:t>
      </w:r>
      <w:r>
        <w:rPr>
          <w:rFonts w:ascii="Arial" w:hAnsi="Arial" w:cs="Arial"/>
          <w:color w:val="000000"/>
          <w:sz w:val="21"/>
          <w:szCs w:val="21"/>
        </w:rPr>
        <w:t>变动成本率，故选项</w:t>
      </w:r>
      <w:r>
        <w:rPr>
          <w:rFonts w:ascii="Arial" w:hAnsi="Arial" w:cs="Arial"/>
          <w:color w:val="000000"/>
          <w:sz w:val="21"/>
          <w:szCs w:val="21"/>
        </w:rPr>
        <w:t>B</w:t>
      </w:r>
      <w:r>
        <w:rPr>
          <w:rFonts w:ascii="Arial" w:hAnsi="Arial" w:cs="Arial"/>
          <w:color w:val="000000"/>
          <w:sz w:val="21"/>
          <w:szCs w:val="21"/>
        </w:rPr>
        <w:t>错误，选项</w:t>
      </w:r>
      <w:r>
        <w:rPr>
          <w:rFonts w:ascii="Arial" w:hAnsi="Arial" w:cs="Arial"/>
          <w:color w:val="000000"/>
          <w:sz w:val="21"/>
          <w:szCs w:val="21"/>
        </w:rPr>
        <w:t>D</w:t>
      </w:r>
      <w:r>
        <w:rPr>
          <w:rFonts w:ascii="Arial" w:hAnsi="Arial" w:cs="Arial"/>
          <w:color w:val="000000"/>
          <w:sz w:val="21"/>
          <w:szCs w:val="21"/>
        </w:rPr>
        <w:t>正确。</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二、单一产品量本利分析</w:t>
      </w:r>
      <w:r>
        <w:rPr>
          <w:rFonts w:ascii="Arial" w:hAnsi="Arial" w:cs="Arial"/>
          <w:color w:val="000000"/>
          <w:sz w:val="21"/>
          <w:szCs w:val="21"/>
        </w:rPr>
        <w:t xml:space="preserve"> p224</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37205"/>
            <wp:effectExtent l="0" t="0" r="0" b="0"/>
            <wp:docPr id="34" name="图片 34" descr="http://img.wangxiao.cn/bjupload/2019-09-11/61768771-4af3-4464-8d65-09b1081f2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wangxiao.cn/bjupload/2019-09-11/61768771-4af3-4464-8d65-09b1081f2a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390" cy="30372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不考虑其他因素，企业采用宽松的流动资产投资策略将导致</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较低的流动资产</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较低的偿债能力</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较低的流动资产短缺成本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较低的收益水平</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【解析】在宽松的流动资产投资策略下，企业将保持较高的流动资产，增加流动资产投资会增加流动资产的持有成本，降低资产的收益性，但会提高资产的流动性，短缺成本会降低，会提高偿债能力。</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三、营运资金管理策略</w:t>
      </w:r>
      <w:r>
        <w:rPr>
          <w:rFonts w:ascii="Arial" w:hAnsi="Arial" w:cs="Arial"/>
          <w:color w:val="000000"/>
          <w:sz w:val="21"/>
          <w:szCs w:val="21"/>
        </w:rPr>
        <w:t>p177</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2981960"/>
            <wp:effectExtent l="0" t="0" r="0" b="8890"/>
            <wp:docPr id="33" name="图片 33" descr="http://img.wangxiao.cn/bjupload/2019-09-11/a70066d5-2644-4964-b711-b9dbbb09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wangxiao.cn/bjupload/2019-09-11/a70066d5-2644-4964-b711-b9dbbb09003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9819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关于上市公司管理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与分析，正确的有</w:t>
      </w:r>
      <w:r>
        <w:rPr>
          <w:rFonts w:ascii="Arial" w:hAnsi="Arial" w:cs="Arial"/>
          <w:color w:val="000000"/>
          <w:sz w:val="21"/>
          <w:szCs w:val="21"/>
        </w:rPr>
        <w:t>()</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与分析是对本公司过去经营状况的评价，而不对未来发展作前瞻性</w:t>
      </w:r>
      <w:r>
        <w:rPr>
          <w:rFonts w:ascii="Arial" w:hAnsi="Arial" w:cs="Arial"/>
          <w:color w:val="000000"/>
          <w:sz w:val="21"/>
          <w:szCs w:val="21"/>
        </w:rPr>
        <w:t>B.</w:t>
      </w:r>
      <w:r>
        <w:rPr>
          <w:rFonts w:ascii="Arial" w:hAnsi="Arial" w:cs="Arial"/>
          <w:color w:val="000000"/>
          <w:sz w:val="21"/>
          <w:szCs w:val="21"/>
        </w:rPr>
        <w:t>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与分析包括报表及附注中没有得到充分揭示，而对投资者决策有用的信息</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与分析包括对财务报告期间有关经营业绩变动的解释</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与分析不是定期报告的组成部分，并不要求强制性披露</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与分析是上市公司定期报告中管理层对于本企业过去经营状况的评价分析以及对企业未来发展趋势的前瞻性判断。选项</w:t>
      </w:r>
      <w:r>
        <w:rPr>
          <w:rFonts w:ascii="Arial" w:hAnsi="Arial" w:cs="Arial"/>
          <w:color w:val="000000"/>
          <w:sz w:val="21"/>
          <w:szCs w:val="21"/>
        </w:rPr>
        <w:t>A</w:t>
      </w:r>
      <w:r>
        <w:rPr>
          <w:rFonts w:ascii="Arial" w:hAnsi="Arial" w:cs="Arial"/>
          <w:color w:val="000000"/>
          <w:sz w:val="21"/>
          <w:szCs w:val="21"/>
        </w:rPr>
        <w:t>错误。管理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与分析信息大多涉及</w:t>
      </w:r>
      <w:r>
        <w:rPr>
          <w:rFonts w:ascii="Arial" w:hAnsi="Arial" w:cs="Arial"/>
          <w:color w:val="000000"/>
          <w:sz w:val="21"/>
          <w:szCs w:val="21"/>
        </w:rPr>
        <w:t>“</w:t>
      </w:r>
      <w:r>
        <w:rPr>
          <w:rFonts w:ascii="Arial" w:hAnsi="Arial" w:cs="Arial"/>
          <w:color w:val="000000"/>
          <w:sz w:val="21"/>
          <w:szCs w:val="21"/>
        </w:rPr>
        <w:t>内部性</w:t>
      </w:r>
      <w:r>
        <w:rPr>
          <w:rFonts w:ascii="Arial" w:hAnsi="Arial" w:cs="Arial"/>
          <w:color w:val="000000"/>
          <w:sz w:val="21"/>
          <w:szCs w:val="21"/>
        </w:rPr>
        <w:t>”</w:t>
      </w:r>
      <w:r>
        <w:rPr>
          <w:rFonts w:ascii="Arial" w:hAnsi="Arial" w:cs="Arial"/>
          <w:color w:val="000000"/>
          <w:sz w:val="21"/>
          <w:szCs w:val="21"/>
        </w:rPr>
        <w:t>较强的</w:t>
      </w:r>
      <w:proofErr w:type="gramStart"/>
      <w:r>
        <w:rPr>
          <w:rFonts w:ascii="Arial" w:hAnsi="Arial" w:cs="Arial"/>
          <w:color w:val="000000"/>
          <w:sz w:val="21"/>
          <w:szCs w:val="21"/>
        </w:rPr>
        <w:t>定性型软信息</w:t>
      </w:r>
      <w:proofErr w:type="gramEnd"/>
      <w:r>
        <w:rPr>
          <w:rFonts w:ascii="Arial" w:hAnsi="Arial" w:cs="Arial"/>
          <w:color w:val="000000"/>
          <w:sz w:val="21"/>
          <w:szCs w:val="21"/>
        </w:rPr>
        <w:t>，无法对其进行详细的强制规定和有效监控，因此，西方国家的披露原则是强制与自愿相结合，企业可以自主决定如何披露这类信息，我国也基本实行这种原则。选项</w:t>
      </w:r>
      <w:r>
        <w:rPr>
          <w:rFonts w:ascii="Arial" w:hAnsi="Arial" w:cs="Arial"/>
          <w:color w:val="000000"/>
          <w:sz w:val="21"/>
          <w:szCs w:val="21"/>
        </w:rPr>
        <w:t>D</w:t>
      </w:r>
      <w:r>
        <w:rPr>
          <w:rFonts w:ascii="Arial" w:hAnsi="Arial" w:cs="Arial"/>
          <w:color w:val="000000"/>
          <w:sz w:val="21"/>
          <w:szCs w:val="21"/>
        </w:rPr>
        <w:t>错误。</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【考点】第十章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二、管理</w:t>
      </w:r>
      <w:proofErr w:type="gramStart"/>
      <w:r>
        <w:rPr>
          <w:rFonts w:ascii="Arial" w:hAnsi="Arial" w:cs="Arial"/>
          <w:color w:val="000000"/>
          <w:sz w:val="21"/>
          <w:szCs w:val="21"/>
        </w:rPr>
        <w:t>层讨论</w:t>
      </w:r>
      <w:proofErr w:type="gramEnd"/>
      <w:r>
        <w:rPr>
          <w:rFonts w:ascii="Arial" w:hAnsi="Arial" w:cs="Arial"/>
          <w:color w:val="000000"/>
          <w:sz w:val="21"/>
          <w:szCs w:val="21"/>
        </w:rPr>
        <w:t>与分析</w:t>
      </w:r>
      <w:r>
        <w:rPr>
          <w:rFonts w:ascii="Arial" w:hAnsi="Arial" w:cs="Arial"/>
          <w:color w:val="000000"/>
          <w:sz w:val="21"/>
          <w:szCs w:val="21"/>
        </w:rPr>
        <w:t>p340</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2941955"/>
            <wp:effectExtent l="0" t="0" r="0" b="0"/>
            <wp:docPr id="32" name="图片 32" descr="http://img.wangxiao.cn/bjupload/2019-09-11/7c3f93b6-6cec-4232-b940-cc246fa3a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wangxiao.cn/bjupload/2019-09-11/7c3f93b6-6cec-4232-b940-cc246fa3a1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515" cy="294195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在息税前利润为正的前提下，下列经营杠杆系数与之保持同向变化的因素有</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固定成本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销售价格</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销售量</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单位变动成本</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【解析】影响经营杠杆的因素包括：企业成本结构中的固定成本比重</w:t>
      </w:r>
      <w:r>
        <w:rPr>
          <w:rFonts w:ascii="Arial" w:hAnsi="Arial" w:cs="Arial"/>
          <w:color w:val="000000"/>
          <w:sz w:val="21"/>
          <w:szCs w:val="21"/>
        </w:rPr>
        <w:t>;</w:t>
      </w:r>
      <w:proofErr w:type="gramStart"/>
      <w:r>
        <w:rPr>
          <w:rFonts w:ascii="Arial" w:hAnsi="Arial" w:cs="Arial"/>
          <w:color w:val="000000"/>
          <w:sz w:val="21"/>
          <w:szCs w:val="21"/>
        </w:rPr>
        <w:t>息</w:t>
      </w:r>
      <w:proofErr w:type="gramEnd"/>
      <w:r>
        <w:rPr>
          <w:rFonts w:ascii="Arial" w:hAnsi="Arial" w:cs="Arial"/>
          <w:color w:val="000000"/>
          <w:sz w:val="21"/>
          <w:szCs w:val="21"/>
        </w:rPr>
        <w:t>税前利润水平。其中，息税前利润水平又受产品销售数量、销售价格、成本水平</w:t>
      </w:r>
      <w:r>
        <w:rPr>
          <w:rFonts w:ascii="Arial" w:hAnsi="Arial" w:cs="Arial"/>
          <w:color w:val="000000"/>
          <w:sz w:val="21"/>
          <w:szCs w:val="21"/>
        </w:rPr>
        <w:t>(</w:t>
      </w:r>
      <w:r>
        <w:rPr>
          <w:rFonts w:ascii="Arial" w:hAnsi="Arial" w:cs="Arial"/>
          <w:color w:val="000000"/>
          <w:sz w:val="21"/>
          <w:szCs w:val="21"/>
        </w:rPr>
        <w:t>单位变动成本和固定成本总额</w:t>
      </w:r>
      <w:r>
        <w:rPr>
          <w:rFonts w:ascii="Arial" w:hAnsi="Arial" w:cs="Arial"/>
          <w:color w:val="000000"/>
          <w:sz w:val="21"/>
          <w:szCs w:val="21"/>
        </w:rPr>
        <w:t>)</w:t>
      </w:r>
      <w:r>
        <w:rPr>
          <w:rFonts w:ascii="Arial" w:hAnsi="Arial" w:cs="Arial"/>
          <w:color w:val="000000"/>
          <w:sz w:val="21"/>
          <w:szCs w:val="21"/>
        </w:rPr>
        <w:t>高低的影响。固定成本比重越高、成本水平越高、产品销售数量和销售价格水平越低，经营杠杆效应越大，反之则相反。</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【考点】第五章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一、经营杠杆效应</w:t>
      </w:r>
      <w:r>
        <w:rPr>
          <w:rFonts w:ascii="Arial" w:hAnsi="Arial" w:cs="Arial"/>
          <w:color w:val="000000"/>
          <w:sz w:val="21"/>
          <w:szCs w:val="21"/>
        </w:rPr>
        <w:t>p123</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63515" cy="3117215"/>
            <wp:effectExtent l="0" t="0" r="0" b="6985"/>
            <wp:docPr id="31" name="图片 31" descr="http://img.wangxiao.cn/bjupload/2019-09-11/9ed90212-c530-4837-9875-51460f889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wangxiao.cn/bjupload/2019-09-11/9ed90212-c530-4837-9875-51460f889d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3515" cy="311721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商业信用作为企业短期资金的一种来源，主要表现形式有</w:t>
      </w:r>
      <w:r>
        <w:rPr>
          <w:rFonts w:ascii="Arial" w:hAnsi="Arial" w:cs="Arial"/>
          <w:color w:val="000000"/>
          <w:sz w:val="21"/>
          <w:szCs w:val="21"/>
        </w:rPr>
        <w:t>()</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应付票据</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季节性周转贷款</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应付账款</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预收账款</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ACD</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【解析】商业信用的形式：应付账款、应付票据、预收货款和应计未付款。</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第五节</w:t>
      </w:r>
      <w:r>
        <w:rPr>
          <w:rFonts w:ascii="Arial" w:hAnsi="Arial" w:cs="Arial"/>
          <w:color w:val="000000"/>
          <w:sz w:val="21"/>
          <w:szCs w:val="21"/>
        </w:rPr>
        <w:t xml:space="preserve"> </w:t>
      </w:r>
      <w:r>
        <w:rPr>
          <w:rFonts w:ascii="Arial" w:hAnsi="Arial" w:cs="Arial"/>
          <w:color w:val="000000"/>
          <w:sz w:val="21"/>
          <w:szCs w:val="21"/>
        </w:rPr>
        <w:t>三、商业信用</w:t>
      </w:r>
      <w:r>
        <w:rPr>
          <w:rFonts w:ascii="Arial" w:hAnsi="Arial" w:cs="Arial"/>
          <w:color w:val="000000"/>
          <w:sz w:val="21"/>
          <w:szCs w:val="21"/>
        </w:rPr>
        <w:t>p215</w:t>
      </w:r>
    </w:p>
    <w:p w:rsidR="004C3CFA" w:rsidRDefault="004C3CFA" w:rsidP="004C3CFA">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79390" cy="3045460"/>
            <wp:effectExtent l="0" t="0" r="0" b="2540"/>
            <wp:docPr id="30" name="图片 30" descr="http://img.wangxiao.cn/bjupload/2019-09-11/ffd0825d-e454-4710-98e5-9d6659d01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wangxiao.cn/bjupload/2019-09-11/ffd0825d-e454-4710-98e5-9d6659d01e4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9390"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 [NT:PAGE=判断题$]</w:t>
      </w:r>
    </w:p>
    <w:p w:rsidR="004C3CFA" w:rsidRDefault="004C3CFA" w:rsidP="004C3CFA">
      <w:pPr>
        <w:pStyle w:val="a3"/>
        <w:spacing w:before="75" w:beforeAutospacing="0" w:after="75" w:afterAutospacing="0"/>
        <w:rPr>
          <w:rFonts w:ascii="Arial" w:hAnsi="Arial" w:cs="Arial"/>
          <w:color w:val="000000"/>
          <w:sz w:val="21"/>
          <w:szCs w:val="21"/>
        </w:rPr>
      </w:pPr>
      <w:r>
        <w:rPr>
          <w:rStyle w:val="a4"/>
          <w:rFonts w:cs="Arial" w:hint="eastAsia"/>
          <w:color w:val="000000"/>
        </w:rPr>
        <w:t>三、判断题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1.优先股的优先权体现在剩余财产清偿分配顺序上居于债权人之前。（  ）</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【解析】优先股在剩余财产方面，优先股清偿顺序先于普通股而次于债权人。一旦公司清算，剩余财产先分给债权人，再分给优先股股东，最后分给普通股股东。</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【考点】第四章 第四节 三、优先股 p109</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3037205"/>
            <wp:effectExtent l="0" t="0" r="0" b="0"/>
            <wp:docPr id="29" name="图片 29" descr="http://img.wangxiao.cn/bjupload/2019-09-11/f7e35b07-aff6-4a04-86d2-72c1e5f97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wangxiao.cn/bjupload/2019-09-11/f7e35b07-aff6-4a04-86d2-72c1e5f972e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30372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2.平均资本成本比较法侧重于从资本投入角度对筹资方案和资本结构进行优化分析。（）</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【答案】对</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平均资本成本比较法，是通过计算和比较各种可能的筹资组合方案的平均资本成本，选择平均资本成本率最低的方案。即能够降低平均资本成本的资本结构，就是合理的资本结构。这种方法侧重于从资本投入的角度对筹资方案和资本结构进行优化分析。</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【考点】第五章 第四节 三、资本结构优化 p134</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45460"/>
            <wp:effectExtent l="0" t="0" r="0" b="2540"/>
            <wp:docPr id="28" name="图片 28" descr="http://img.wangxiao.cn/bjupload/2019-09-11/8447e6e5-7c60-450d-9c59-107379da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wangxiao.cn/bjupload/2019-09-11/8447e6e5-7c60-450d-9c59-107379da149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9390"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3.两项资产的收益率具有完全负相关关系时，则该两项资产的组合可以最大限度抵消非系统风险。（）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【答案】对</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【解析】当两项资产的收益率完全负相关时，两项资产的风险可以充分地相互抵消，甚至完全消除。这样的组合能够最大程度地降低风险。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【考点】第二章 第二节 三、证券资产组合的风险与收益 P41</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3045460"/>
            <wp:effectExtent l="0" t="0" r="0" b="2540"/>
            <wp:docPr id="27" name="图片 27" descr="http://img.wangxiao.cn/bjupload/2019-09-11/e875b197-847f-48b3-a31a-bec830073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wangxiao.cn/bjupload/2019-09-11/e875b197-847f-48b3-a31a-bec830073d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3515"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4.在固定股利支付率政策下，各年的股利随着收益的波动而波动，容易给投资者带来公司经营状况不稳定印象</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【答案】对</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大多数公司每年的收益很难保持稳定不变，导致年度间的股利额波动较大，由于股利的信号传递作用，波动的股利很容易给投资者带来经营状态不稳定、投资风险较大的不良印象，成为影响股价的不利因素。</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【考点】第九章 第四节 一、股利政策与企业价值 p300</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2973705"/>
            <wp:effectExtent l="0" t="0" r="0" b="0"/>
            <wp:docPr id="26" name="图片 26" descr="http://img.wangxiao.cn/bjupload/2019-09-11/c77e5360-5929-415c-a5d0-c5a6989af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wangxiao.cn/bjupload/2019-09-11/c77e5360-5929-415c-a5d0-c5a6989afe2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3515" cy="29737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5.企业发生内部交易的双方之间，买卖双方所采用的内部转移价格必须保持一致。（）</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【解析】内部转移价格的制定可以是双重价格，即由</w:t>
      </w:r>
      <w:proofErr w:type="gramStart"/>
      <w:r>
        <w:rPr>
          <w:rFonts w:cs="Arial" w:hint="eastAsia"/>
          <w:color w:val="000000"/>
        </w:rPr>
        <w:t>内部贵任中心</w:t>
      </w:r>
      <w:proofErr w:type="gramEnd"/>
      <w:r>
        <w:rPr>
          <w:rFonts w:cs="Arial" w:hint="eastAsia"/>
          <w:color w:val="000000"/>
        </w:rPr>
        <w:t>的交易双方采用不同的内部转移价格作为计价基础。</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【考点】第八章 第四节 二、责任成本 p258</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45460"/>
            <wp:effectExtent l="0" t="0" r="0" b="2540"/>
            <wp:docPr id="25" name="图片 25" descr="http://img.wangxiao.cn/bjupload/2019-09-11/22c44b7a-1a0c-4a9f-a6db-bd51b0f06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wangxiao.cn/bjupload/2019-09-11/22c44b7a-1a0c-4a9f-a6db-bd51b0f069a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9390"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6.由于债券的面值、期限和票面利息通常是固定的，因此债券给持有者所带来的未来收益仅仅为利息收益。</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【解析】债券投资的收益是投资于债券所获得的全部投资报酬，这些投资报酬来源于三个方面：（1）名义利息收益；（2）利息再投资收益；（3）价差收益。</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【考点】第六章 第四节 四、债券投资 p170</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66085"/>
            <wp:effectExtent l="0" t="0" r="0" b="5715"/>
            <wp:docPr id="24" name="图片 24" descr="http://img.wangxiao.cn/bjupload/2019-09-11/343e4b5a-2a70-49d1-9e5d-6bbb1fd3a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wangxiao.cn/bjupload/2019-09-11/343e4b5a-2a70-49d1-9e5d-6bbb1fd3a82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390" cy="296608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7.投资项目是否具有财务可行性，完全取决于该项目在整个寿命周期内获得的利润总额是否超过整个项目投资成本。（）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对于投资方案财务可行性来说，项目的现金流量状况比会计期间盈亏状况更为重要。一个投资项目能否顺利进行，有无经济上的效益，不一定取决于有无会计期间利润，而在于能否带来正现金流量，即整个项目能否获得超过项目投资的现金回收。</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【考点】第六章 第一节 四、投资管理的原则 p141</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97835"/>
            <wp:effectExtent l="0" t="0" r="0" b="0"/>
            <wp:docPr id="23" name="图片 23" descr="http://img.wangxiao.cn/bjupload/2019-09-11/1dffa013-fdbe-4eaf-a240-26f5cb961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wangxiao.cn/bjupload/2019-09-11/1dffa013-fdbe-4eaf-a240-26f5cb961d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8.不考虑其他因素的影响，如果债券的票面利率大于市场利率，则该债券的期限越长，其价值就越低。(  )</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【解析】如果债券的票面利率大于市场利率，则是溢价发行的债券，该债券的期限越长，其价值就越高。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【考点】第六章 第四节 四、债券投资 p166</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77210"/>
            <wp:effectExtent l="0" t="0" r="0" b="8890"/>
            <wp:docPr id="22" name="图片 22" descr="http://img.wangxiao.cn/bjupload/2019-09-11/6dfc3668-fc53-40d7-bee0-29e7d52ca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wangxiao.cn/bjupload/2019-09-11/6dfc3668-fc53-40d7-bee0-29e7d52ca6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9.企业利用商业信用筹资比较机动、灵活，而且期限较短，不会恶化企业的信用水平。（）</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【答案】错</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【解析】商业信用的期限短，还款压力大，对企业现金流量管理的要求很高。如果长期和经常性地拖欠账款，会造成企业的信誉恶化。</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【考点】第七章 第五节 三、商业信用 p216</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26080"/>
            <wp:effectExtent l="0" t="0" r="0" b="7620"/>
            <wp:docPr id="21" name="图片 21" descr="http://img.wangxiao.cn/bjupload/2019-09-11/5ca59ada-5307-4161-9507-51cd457fc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wangxiao.cn/bjupload/2019-09-11/5ca59ada-5307-4161-9507-51cd457fcfc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9390" cy="292608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[NT:PAGE=计算分析题$]</w:t>
      </w:r>
    </w:p>
    <w:p w:rsidR="004C3CFA" w:rsidRDefault="004C3CFA" w:rsidP="004C3CFA">
      <w:pPr>
        <w:pStyle w:val="a3"/>
        <w:spacing w:before="75" w:beforeAutospacing="0" w:after="75" w:afterAutospacing="0"/>
        <w:rPr>
          <w:rFonts w:ascii="Arial" w:hAnsi="Arial" w:cs="Arial"/>
          <w:color w:val="000000"/>
          <w:sz w:val="21"/>
          <w:szCs w:val="21"/>
        </w:rPr>
      </w:pPr>
      <w:r>
        <w:rPr>
          <w:rStyle w:val="a4"/>
          <w:rFonts w:cs="Arial" w:hint="eastAsia"/>
          <w:color w:val="000000"/>
        </w:rPr>
        <w:t>四、计算分析题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1.（本题5分）甲公司2018年实现销售收入为100000万元，净利润为5000万元，利润留存率为20%。公司2018年12月31日的资产负债表（简表）如下表所示（单位：万元）。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1248410"/>
            <wp:effectExtent l="0" t="0" r="0" b="8890"/>
            <wp:docPr id="20" name="图片 20" descr="http://img.wangxiao.cn/bjupload/2019-09-11/0f022955-cfae-4efa-ac17-5a095f48b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wangxiao.cn/bjupload/2019-09-11/0f022955-cfae-4efa-ac17-5a095f48b8a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12484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公司预计2019年销售收入比上年增长20%，假定经营性资产和经营性负债与销售收入保持稳定的百分比关系，其他项目</w:t>
      </w:r>
      <w:proofErr w:type="gramStart"/>
      <w:r>
        <w:rPr>
          <w:rFonts w:cs="Arial" w:hint="eastAsia"/>
          <w:color w:val="000000"/>
        </w:rPr>
        <w:t>不</w:t>
      </w:r>
      <w:proofErr w:type="gramEnd"/>
      <w:r>
        <w:rPr>
          <w:rFonts w:cs="Arial" w:hint="eastAsia"/>
          <w:color w:val="000000"/>
        </w:rPr>
        <w:t>随着销售收入的变化而变化，同时假设销售净利润率与利润留存率保持不变，公司采用销售百分比法预测资金需要量。</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（1）计算2019年预计经营性资产增加额。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（2）计算2019年预计经营性负债增加额。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（3）计算2019年预计留存收益增加额。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（4）计算2019年预计外部融资需要量。</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（1）2019年预计经营性资产增加额=（1500+3500+5000）× 20%=2000（万元）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（2）2019年预计经营性负债增加额=3000×20%=600（万元）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（3）2019年预计留存收益增加额=100000×（1+20%）×5000/100000×20=1200（万元）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（4）2019年预计外部融资需要量=2000-600-1200=200（万元）。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【考点】第五章 第一节 二、销售百分比法 p112</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77210"/>
            <wp:effectExtent l="0" t="0" r="0" b="8890"/>
            <wp:docPr id="19" name="图片 19" descr="http://img.wangxiao.cn/bjupload/2019-09-11/a27ecf6c-89ef-42e8-933a-dc3c6eaa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wangxiao.cn/bjupload/2019-09-11/a27ecf6c-89ef-42e8-933a-dc3c6eaaed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2.（本题5分）甲公司发行在外的普通股总股数为3000万股，其全部债务为6000万元（年利息率为6%）。公司因业务发展需要追加筹资2400万元，有两种方案选择：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A方案：增发普通股600万股，每股发行价4元。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B方案：按面值发行债券2400万元，票面利率为8%。</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公司采用资本结构优化的每股收益分析法进行方案选择。假设发行股票和发行债券的筹资费忽略不计，经测算，追加筹资后公司销售额可以达到3600万元，变动成本率为50%，固定成本总额为600万元，公司适用的企业所得税税率为25%。</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（1）计算两种方案的每股收益无差别点（即两种方案的每股收益相等时的息税前利润）。</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（2）计算公司追加筹资后的预计</w:t>
      </w:r>
      <w:proofErr w:type="gramStart"/>
      <w:r>
        <w:rPr>
          <w:rFonts w:cs="Arial" w:hint="eastAsia"/>
          <w:color w:val="000000"/>
        </w:rPr>
        <w:t>息</w:t>
      </w:r>
      <w:proofErr w:type="gramEnd"/>
      <w:r>
        <w:rPr>
          <w:rFonts w:cs="Arial" w:hint="eastAsia"/>
          <w:color w:val="000000"/>
        </w:rPr>
        <w:t>税前利润。</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（3）根据要求（1）和要求（2）的计算结果，判断公司应当选择何种筹资方案，并说明理由。</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（1）（EBIT-6000×6%）×（1-25%）/（3000+600）=（EBIT-6000×6%-2400×8%）×（1-25%）/3000</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解得：EBIT=1512（万元）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（2）追加筹资后的预计</w:t>
      </w:r>
      <w:proofErr w:type="gramStart"/>
      <w:r>
        <w:rPr>
          <w:rFonts w:cs="Arial" w:hint="eastAsia"/>
          <w:color w:val="000000"/>
        </w:rPr>
        <w:t>息</w:t>
      </w:r>
      <w:proofErr w:type="gramEnd"/>
      <w:r>
        <w:rPr>
          <w:rFonts w:cs="Arial" w:hint="eastAsia"/>
          <w:color w:val="000000"/>
        </w:rPr>
        <w:t>税前利润=3600×（1-50%）-600=1200（万元）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（3）应当选择A方案增发普通股筹资。因为追加筹资后的预计</w:t>
      </w:r>
      <w:proofErr w:type="gramStart"/>
      <w:r>
        <w:rPr>
          <w:rFonts w:cs="Arial" w:hint="eastAsia"/>
          <w:color w:val="000000"/>
        </w:rPr>
        <w:t>息</w:t>
      </w:r>
      <w:proofErr w:type="gramEnd"/>
      <w:r>
        <w:rPr>
          <w:rFonts w:cs="Arial" w:hint="eastAsia"/>
          <w:color w:val="000000"/>
        </w:rPr>
        <w:t>税前利润1200万元小于每股收益无差别点息税前利润1512万元，所以应当选择股权筹资，即选择A方案。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【考点】第五章 第四节 三、资本结构优化 p133</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29585"/>
            <wp:effectExtent l="0" t="0" r="0" b="0"/>
            <wp:docPr id="18" name="图片 18" descr="http://img.wangxiao.cn/bjupload/2019-09-11/85b8c1f9-ebdc-4248-93ea-06f7777d6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wangxiao.cn/bjupload/2019-09-11/85b8c1f9-ebdc-4248-93ea-06f7777d6f5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9390" cy="302958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本题5分）甲公司拟购置一套监控设备，有X和y两种设备可供选择，二者具有同样的功用。X设备的购买成本为480000元，每年付现成本为40000元，使用寿命为6年。该设备采用直线法折旧，年折旧额为80000元，税法残值为0，最终报废残值为12000元。Y设备使用寿命为5年，经测算，年金成本为105000元。投资决策采用的折现率为10%，公司适用的企业所得税税率为25%。有关货币时间价值系数如下：（P/F，10%，6）=0.5645；（P/A，10%，6）=4.3553；（F/A，10%，6）=7.7156。</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（1）计算X设备每年的税后付现成本。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（2）计算X设备每年的折旧抵税额和最后一年末的税后残值收入。</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（3）计算X设备的年金成本。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（4）运用年金成本方式，判断公司应选择哪一种设备。</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（1）X设备每年的税后付现成本=40000×（1-25%）=30000（元）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（2）X设备每年的折旧抵税额=80000×25%=20000（元）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最后一年末的税后残值收入=12000-12000×25%=9000（元）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（3）X设备的现金净流出量现值=480000+（30000-20000）×（P/A，10%，6）-9000×（P/F，10%，6）=518472.5（元）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X设备的年金成本=518472.5/（P/A，10%，6）=119044.04（元）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（4）选择Y设备。由于X设备的年金成本119044.04元&gt;Y设备的年金成本为105000元，所以选择Y设备。</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【考点】第六章 第三节 固定资产更新决策、项目现金流量</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97835"/>
            <wp:effectExtent l="0" t="0" r="0" b="0"/>
            <wp:docPr id="17" name="图片 17" descr="http://img.wangxiao.cn/bjupload/2019-09-11/e012de0b-639a-46d4-96f2-114a4546f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wangxiao.cn/bjupload/2019-09-11/e012de0b-639a-46d4-96f2-114a4546f4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97835"/>
            <wp:effectExtent l="0" t="0" r="0" b="0"/>
            <wp:docPr id="16" name="图片 16" descr="http://img.wangxiao.cn/bjupload/2019-09-11/d64380a6-e852-42d4-a23a-efe5cb2b2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wangxiao.cn/bjupload/2019-09-11/d64380a6-e852-42d4-a23a-efe5cb2b234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4.（本题5分）甲公司是一家标准件分销商，主要业务是采购并向固定客户供应某种标准件产品。有关资料如下：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（1）该标准件上一年订货次数为60次，全年订货成本为80万元，其中固定成本总额为26万元，其余均为变动成本。单位变动成本和固定成本总额不变。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（2）该标准件仓储总费用中，每年固定租金为120万元，每增加一件标准件就增加1元仓储费。每件标准件的占用资金为50元，资金利息率为6%。</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（3）该标准件年需要量为180万件。一年按照360天计算。</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（4）该标准件从发出订单到货物送达需要5天。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（1）计算每次订货变动成本。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（2）计算单位变动储存成本。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（3）根据经济订货模型，计算该标准件的经济订货批量和最佳订货周期（按天表示）。</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w:t>
      </w:r>
      <w:proofErr w:type="gramStart"/>
      <w:r>
        <w:rPr>
          <w:rFonts w:cs="Arial" w:hint="eastAsia"/>
          <w:color w:val="000000"/>
        </w:rPr>
        <w:t>计算再</w:t>
      </w:r>
      <w:proofErr w:type="gramEnd"/>
      <w:r>
        <w:rPr>
          <w:rFonts w:cs="Arial" w:hint="eastAsia"/>
          <w:color w:val="000000"/>
        </w:rPr>
        <w:t>订货点。</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（1）每次订货变动成本=（80-26）×10000/60=9000（元）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（2）单位变动储存成本=1+50×6%=4（元/件）</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3228340" cy="381635"/>
            <wp:effectExtent l="0" t="0" r="0" b="0"/>
            <wp:docPr id="15" name="图片 15" descr="http://img.wangxiao.cn/bjupload/2019-09-11/b9cda81f-ac65-44d9-89b8-a3cdd27da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wangxiao.cn/bjupload/2019-09-11/b9cda81f-ac65-44d9-89b8-a3cdd27da71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8340" cy="3816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每年最佳订货次数=1800000/90000=20（次）最佳订货周期=360/20=18（天）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（4）每日平均需用量=1800000/360=5000（件）</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再订货点=5×5000=25000（件）。</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【考点】第七章 第四节 最优存货量的确定、存货的成本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2950210"/>
            <wp:effectExtent l="0" t="0" r="0" b="2540"/>
            <wp:docPr id="14" name="图片 14" descr="http://img.wangxiao.cn/bjupload/2019-09-11/30b4d73c-c3ee-42f2-a677-e896f4732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wangxiao.cn/bjupload/2019-09-11/30b4d73c-c3ee-42f2-a677-e896f4732bb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3515" cy="2950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73705"/>
            <wp:effectExtent l="0" t="0" r="0" b="0"/>
            <wp:docPr id="13" name="图片 13" descr="http://img.wangxiao.cn/bjupload/2019-09-11/3503ff75-1216-4eda-9766-7e88060b6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wangxiao.cn/bjupload/2019-09-11/3503ff75-1216-4eda-9766-7e88060b61e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9390" cy="29737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29585"/>
            <wp:effectExtent l="0" t="0" r="0" b="0"/>
            <wp:docPr id="12" name="图片 12" descr="http://img.wangxiao.cn/bjupload/2019-09-11/4cbd6454-177c-463b-a999-28bf87b7c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wangxiao.cn/bjupload/2019-09-11/4cbd6454-177c-463b-a999-28bf87b7cd5c.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9390" cy="302958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89580"/>
            <wp:effectExtent l="0" t="0" r="0" b="1270"/>
            <wp:docPr id="11" name="图片 11" descr="http://img.wangxiao.cn/bjupload/2019-09-11/506052ab-7fa1-4af1-b784-6a30f63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wangxiao.cn/bjupload/2019-09-11/506052ab-7fa1-4af1-b784-6a30f632024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9390" cy="298958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[NT:PAGE=综合题$]</w:t>
      </w:r>
    </w:p>
    <w:p w:rsidR="004C3CFA" w:rsidRDefault="004C3CFA" w:rsidP="004C3CFA">
      <w:pPr>
        <w:pStyle w:val="a3"/>
        <w:spacing w:before="75" w:beforeAutospacing="0" w:after="75" w:afterAutospacing="0"/>
        <w:rPr>
          <w:rFonts w:ascii="Arial" w:hAnsi="Arial" w:cs="Arial"/>
          <w:color w:val="000000"/>
          <w:sz w:val="21"/>
          <w:szCs w:val="21"/>
        </w:rPr>
      </w:pPr>
      <w:r>
        <w:rPr>
          <w:rStyle w:val="a4"/>
          <w:rFonts w:cs="Arial" w:hint="eastAsia"/>
          <w:color w:val="000000"/>
        </w:rPr>
        <w:t>五、综合题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1.（本题12分）甲企业是某公司下属的一个独立分厂，该企业仅生产并销售W产品，2018年有关预算与考核分析资料如下：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w:t>
      </w:r>
      <w:proofErr w:type="gramStart"/>
      <w:r>
        <w:rPr>
          <w:rFonts w:cs="Arial" w:hint="eastAsia"/>
          <w:color w:val="000000"/>
        </w:rPr>
        <w:t>一</w:t>
      </w:r>
      <w:proofErr w:type="gramEnd"/>
      <w:r>
        <w:rPr>
          <w:rFonts w:cs="Arial" w:hint="eastAsia"/>
          <w:color w:val="000000"/>
        </w:rPr>
        <w:t>：W产品的预计产销量相同，2018年第一至第四季度的预计产销量分别为100件、200件、300件和400件，预计产品销售单价为1000元/件。预计销售收入中，有60%在本季度收到现金，40%在下一季度收到现金。2017年年末应收账款余额为80000元。不考虑增值税及其他因素的影响。</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资料二：2018年年</w:t>
      </w:r>
      <w:proofErr w:type="gramStart"/>
      <w:r>
        <w:rPr>
          <w:rFonts w:cs="Arial" w:hint="eastAsia"/>
          <w:color w:val="000000"/>
        </w:rPr>
        <w:t>初材料</w:t>
      </w:r>
      <w:proofErr w:type="gramEnd"/>
      <w:r>
        <w:rPr>
          <w:rFonts w:cs="Arial" w:hint="eastAsia"/>
          <w:color w:val="000000"/>
        </w:rPr>
        <w:t>存货量为500千克，每季度末材料存货量按下一季度生产需用量的10%确定。单位产品用料标准为10千克/件，单位材料价格标准为5元/千克。材料</w:t>
      </w:r>
      <w:proofErr w:type="gramStart"/>
      <w:r>
        <w:rPr>
          <w:rFonts w:cs="Arial" w:hint="eastAsia"/>
          <w:color w:val="000000"/>
        </w:rPr>
        <w:t>采购款</w:t>
      </w:r>
      <w:proofErr w:type="gramEnd"/>
      <w:r>
        <w:rPr>
          <w:rFonts w:cs="Arial" w:hint="eastAsia"/>
          <w:color w:val="000000"/>
        </w:rPr>
        <w:t>有50%在本季度支付现金，另外50%在下一季度支付。</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三：企业在每季度末的理想现金余额是50000元，且不得低于50000元。如果当季度现金不足，则向银行取得短期借款；如果当季度现金溢余，则偿还银行短期借款。短期借款的年利率为10%，按季度偿付利息。借款和还款的数额须为1000元的整数</w:t>
      </w:r>
      <w:proofErr w:type="gramStart"/>
      <w:r>
        <w:rPr>
          <w:rFonts w:cs="Arial" w:hint="eastAsia"/>
          <w:color w:val="000000"/>
        </w:rPr>
        <w:t>倍</w:t>
      </w:r>
      <w:proofErr w:type="gramEnd"/>
      <w:r>
        <w:rPr>
          <w:rFonts w:cs="Arial" w:hint="eastAsia"/>
          <w:color w:val="000000"/>
        </w:rPr>
        <w:t>。假设新增借款发生在季度初，归还借款发生在季度末。2018年第一季度，在未考虑银行借款情况下的现金余额（即现金余缺）为26700元。假设2018年初，企业没有借款。</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资料四：2018年年末，企业对第四季度预算执行情况进行考核分析。第四季度W产品的实际产量为450件，实际材料耗用量为3600千克，实际材料单价为6元/千克。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（1）根据资料</w:t>
      </w:r>
      <w:proofErr w:type="gramStart"/>
      <w:r>
        <w:rPr>
          <w:rFonts w:cs="Arial" w:hint="eastAsia"/>
          <w:color w:val="000000"/>
        </w:rPr>
        <w:t>一</w:t>
      </w:r>
      <w:proofErr w:type="gramEnd"/>
      <w:r>
        <w:rPr>
          <w:rFonts w:cs="Arial" w:hint="eastAsia"/>
          <w:color w:val="000000"/>
        </w:rPr>
        <w:t>，计算：①W产品的第一季度现金收入；②资产负债表预算中应收账款的年末数。</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（2）根据资料</w:t>
      </w:r>
      <w:proofErr w:type="gramStart"/>
      <w:r>
        <w:rPr>
          <w:rFonts w:cs="Arial" w:hint="eastAsia"/>
          <w:color w:val="000000"/>
        </w:rPr>
        <w:t>一</w:t>
      </w:r>
      <w:proofErr w:type="gramEnd"/>
      <w:r>
        <w:rPr>
          <w:rFonts w:cs="Arial" w:hint="eastAsia"/>
          <w:color w:val="000000"/>
        </w:rPr>
        <w:t>和资料二，计算：①第一季度预计材料期末存货量；②第二季度预计材料采购量；③第三季度预计材料采购金额。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（3）根据资料三，计算第一季度现金预算中：①取得短期借款金额；②短期借款利息金额；③期末现金余额。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（4）根据资料一、资料二和资料四，计算第四季度材料费用总额实际数与预算数之间的差额。</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（5）根据资料一、资料二和资料四，使用连环替代法，依次计算第四季度下列因素变化对材料费用总额实际数与预算数之间差额的影响：①产品产量：②单位产品材料消耗量；③单位材料价格。</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（1）①W产品的第一季度现金收入=80000+100×1000×60%=140000（元）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②资产负债表预算中应收账款的年末数=400×1000×40%=160000（元）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3331845"/>
            <wp:effectExtent l="0" t="0" r="0" b="1905"/>
            <wp:docPr id="10" name="图片 10" descr="说明: 微信截图_2019091117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说明: 微信截图_201909111701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3515" cy="333184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3411220"/>
            <wp:effectExtent l="0" t="0" r="0" b="0"/>
            <wp:docPr id="9" name="图片 9" descr="说明: 微信截图_2019091117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说明: 微信截图_201909111702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3515" cy="341122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（2）①第一季度预计材料期末存货量=200×10%×10=200（千克）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②第二季度预计材料采购量=（200+300×10%-20）×10=2100（千克）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③第三季度预计材料采购金额=（300+400×10%-300×10%）×10×5=15500（元） </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2806700"/>
            <wp:effectExtent l="0" t="0" r="0" b="0"/>
            <wp:docPr id="8" name="图片 8" descr="说明: 微信截图_2019091117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说明: 微信截图_201909111728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3515" cy="280670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（3）①</w:t>
      </w:r>
      <w:proofErr w:type="gramStart"/>
      <w:r>
        <w:rPr>
          <w:rFonts w:cs="Arial" w:hint="eastAsia"/>
          <w:color w:val="000000"/>
        </w:rPr>
        <w:t>设取得</w:t>
      </w:r>
      <w:proofErr w:type="gramEnd"/>
      <w:r>
        <w:rPr>
          <w:rFonts w:cs="Arial" w:hint="eastAsia"/>
          <w:color w:val="000000"/>
        </w:rPr>
        <w:t>短期借款金额为X元：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26700+X-X×10%/12×3≥50000</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X≥23897.44（元）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因为借款和还款数额须为1000元的整数</w:t>
      </w:r>
      <w:proofErr w:type="gramStart"/>
      <w:r>
        <w:rPr>
          <w:rFonts w:cs="Arial" w:hint="eastAsia"/>
          <w:color w:val="000000"/>
        </w:rPr>
        <w:t>倍</w:t>
      </w:r>
      <w:proofErr w:type="gramEnd"/>
      <w:r>
        <w:rPr>
          <w:rFonts w:cs="Arial" w:hint="eastAsia"/>
          <w:color w:val="000000"/>
        </w:rPr>
        <w:t>，所以，取得短期借款金额=24000（元）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②短期借款利息金额=24000×10%/12×3=600（元）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③期末现金余额-26700+24000-600=50100（元）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323590"/>
            <wp:effectExtent l="0" t="0" r="0" b="0"/>
            <wp:docPr id="7" name="图片 7" descr="说明: 微信截图_2019091117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说明: 微信截图_20190911173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9390" cy="332359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（4）第四季度材料费用总额实际数=3600×6=21600（元）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第四季度材料费用总额预算数=400×10×5=20000（元）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第四季度材料费用总额实际数与预算数之间的差额=21600-20000=1600（元）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（5）第四季度材料费用总额预算数=400×10×5=20000（元）第四季度材料费用总额实际数=450×（3600/450）×6=21600（元）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替换产品产量：450×10×5-22500（元）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替换单位产品材料消耗量：450×3600/450×5=18000（元）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替换单位产品价格：450×3600/450×6=21600（元）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替换产品产量对材料费用总额实际数与预算数之间差额的影响：22500-20000-2500（元）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替换单位产品材料消耗量对材料费用总额实际数与预算数之间差额的影响：18000-22500=-4500（元）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替换单位产品价格对材料费用总额实际数与预算数之间差额的影响：21600-18000=3600（元）。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【考点】财务预算的编制、业务预算的编制、财务分析的方法</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2.（本题13分）甲公司是一家国内中小板上市的制造企业，基于公司持续发展需要，公司决定优化资本结构，并据以调整相关股利分配政策。有关资料如下：</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w:t>
      </w:r>
      <w:proofErr w:type="gramStart"/>
      <w:r>
        <w:rPr>
          <w:rFonts w:cs="Arial" w:hint="eastAsia"/>
          <w:color w:val="000000"/>
        </w:rPr>
        <w:t>一</w:t>
      </w:r>
      <w:proofErr w:type="gramEnd"/>
      <w:r>
        <w:rPr>
          <w:rFonts w:cs="Arial" w:hint="eastAsia"/>
          <w:color w:val="000000"/>
        </w:rPr>
        <w:t>：公司已有的资本结构如下：债务资金账面价值为600万元，全部为银行借款本金，年利率为8%，假设不存在手续费等其他筹资费用；权益资金账面价值为2400万元，权益资本成本</w:t>
      </w:r>
      <w:proofErr w:type="gramStart"/>
      <w:r>
        <w:rPr>
          <w:rFonts w:cs="Arial" w:hint="eastAsia"/>
          <w:color w:val="000000"/>
        </w:rPr>
        <w:t>率采用</w:t>
      </w:r>
      <w:proofErr w:type="gramEnd"/>
      <w:r>
        <w:rPr>
          <w:rFonts w:cs="Arial" w:hint="eastAsia"/>
          <w:color w:val="000000"/>
        </w:rPr>
        <w:t>资本资产定价模型计算。已知无风险收益率为6%，市场组合收益率为10%。公司股票的β系数为2。公司适用的企业所得税税率为25%。</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二：公司当前销售收入为12000万元，变动成本率为60%，固定成本总额800万元。上述变动成本和固定成本均不包含利息费用。随着公司所处资本市场环境变化以及持续稳定发展的需要，公司认为已有的资本结构不够合理，决定采用公司价值分析法进行资本结构优化分析。经研究，公司拿出两种资本结构调整方案，两种方案下的债务资金和权益资本的相关情况如下表所示。</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755650"/>
            <wp:effectExtent l="0" t="0" r="0" b="6350"/>
            <wp:docPr id="6" name="图片 6" descr="http://img.wangxiao.cn/bjupload/2019-09-11/e8309294-f5b7-4573-b770-bfbbafe48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wangxiao.cn/bjupload/2019-09-11/e8309294-f5b7-4573-b770-bfbbafe48c4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9390" cy="75565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假定公司债务市场价值等于其账面价值，且税前债务率息率等于税前债务资本成本率，同时假定公司</w:t>
      </w:r>
      <w:proofErr w:type="gramStart"/>
      <w:r>
        <w:rPr>
          <w:rFonts w:cs="Arial" w:hint="eastAsia"/>
          <w:color w:val="000000"/>
        </w:rPr>
        <w:t>息</w:t>
      </w:r>
      <w:proofErr w:type="gramEnd"/>
      <w:r>
        <w:rPr>
          <w:rFonts w:cs="Arial" w:hint="eastAsia"/>
          <w:color w:val="000000"/>
        </w:rPr>
        <w:t>税前利润水平保持不变，权益资本市场价值按净利润除以权益资本成本</w:t>
      </w:r>
      <w:proofErr w:type="gramStart"/>
      <w:r>
        <w:rPr>
          <w:rFonts w:cs="Arial" w:hint="eastAsia"/>
          <w:color w:val="000000"/>
        </w:rPr>
        <w:t>率这种</w:t>
      </w:r>
      <w:proofErr w:type="gramEnd"/>
      <w:r>
        <w:rPr>
          <w:rFonts w:cs="Arial" w:hint="eastAsia"/>
          <w:color w:val="000000"/>
        </w:rPr>
        <w:t>简化方式进行测算。</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资料三：公司实现净利润2800万元。为了确保最优资本结构，公司拟采用剩余股利政策。假定投资计划需要资金2500万元，其中权益资金占比应达到60%。公司发行在外的普通股数量为2000万股。</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资料四：公司自上市以来一直采用基本稳定的固定股利政策，每年发放的现金股利均在每股0.9元左右。不考虑其他因素影响。</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要求：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（1）根据资料</w:t>
      </w:r>
      <w:proofErr w:type="gramStart"/>
      <w:r>
        <w:rPr>
          <w:rFonts w:cs="Arial" w:hint="eastAsia"/>
          <w:color w:val="000000"/>
        </w:rPr>
        <w:t>一</w:t>
      </w:r>
      <w:proofErr w:type="gramEnd"/>
      <w:r>
        <w:rPr>
          <w:rFonts w:cs="Arial" w:hint="eastAsia"/>
          <w:color w:val="000000"/>
        </w:rPr>
        <w:t>，计算公司的债务资本成本率、权益资本成本率，并按账面价值权数计算公司的平均资本成本</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（2）根据资料二，计算公司当前的边际贡献总额、息税前利润。</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（3）根据资料二，计算两种方案下的公司市场价值，并据以判断采用何种资本结构优化方案。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（4）根据资料三，计算投资计划所需要的权益资本数额以及预计可发放的现金股利，并据此计算每股股利。</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（5）根据要求（4）的计算结果和资料四，不考虑其他因素，依据信号传递理论，判断公司改变股利政策可能给公司带来什么不利影响。</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【答案】</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（1）债务资本成本率=8%×（1-25%）=6%</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权益资本成本率=6%+2×（10%-6%）=14%</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平均资本成本率=6%×600/（600+2400）+14%×2400/（600+2400）=12.4%</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（2）边际贡献总额=12000×（1-60%）=4800（万元）</w:t>
      </w:r>
    </w:p>
    <w:p w:rsidR="004C3CFA" w:rsidRDefault="004C3CFA" w:rsidP="004C3CFA">
      <w:pPr>
        <w:pStyle w:val="a3"/>
        <w:spacing w:before="75" w:beforeAutospacing="0" w:after="75" w:afterAutospacing="0"/>
        <w:rPr>
          <w:rFonts w:ascii="Arial" w:hAnsi="Arial" w:cs="Arial"/>
          <w:color w:val="000000"/>
          <w:sz w:val="21"/>
          <w:szCs w:val="21"/>
        </w:rPr>
      </w:pPr>
      <w:proofErr w:type="gramStart"/>
      <w:r>
        <w:rPr>
          <w:rFonts w:cs="Arial" w:hint="eastAsia"/>
          <w:color w:val="000000"/>
        </w:rPr>
        <w:t>息</w:t>
      </w:r>
      <w:proofErr w:type="gramEnd"/>
      <w:r>
        <w:rPr>
          <w:rFonts w:cs="Arial" w:hint="eastAsia"/>
          <w:color w:val="000000"/>
        </w:rPr>
        <w:t>税前利润=4800-800=4000（万元）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（3）方案1公司权益市场价值=（4000-2000×8%）×（1-25%）/10%=28800（万元）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公司市场价值-28800+2000-30800（万元）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方案2公司权益市场价值=（4000-3000×8.4%）×（1-25%）/12%-23425（万元）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公司市场价值=23425+3000=26425（万元）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方案1的公司市场价值30800万元高于方案2的公司市场价值26425万元，故公司应当选择方案1。</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（4）投资计划所需要的权益资本数额=2500×60%=1500（万元）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预计可发放的现金股利=2800-1500=1300（万元）</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每股股利=1300/2000=0.65（元/股）</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5）信号传递理论认为，在信息不对称的情况下，公司可以通过股利政策向市场传递有关公司未来获利能力的信息，从而会影响公司的股价。公司的股利支付水平在过去一个较长的时期内相对稳定，一直是0.9元/股，而现在却下降到0.65元/股，投资者将会把这种现象看作公司管理当局将改变公司未来收益率的信号，股票市价将有可能会因股利的下降而下降。</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【考点】第五章 第二、四节 第八章 第二节 第十章 第三节第九章 第四节</w:t>
      </w:r>
    </w:p>
    <w:p w:rsidR="004C3CFA" w:rsidRDefault="004C3CFA" w:rsidP="004C3CFA">
      <w:pPr>
        <w:pStyle w:val="a3"/>
        <w:spacing w:before="75" w:beforeAutospacing="0" w:after="75" w:afterAutospacing="0"/>
        <w:rPr>
          <w:rFonts w:ascii="Arial" w:hAnsi="Arial" w:cs="Arial"/>
          <w:color w:val="000000"/>
          <w:sz w:val="21"/>
          <w:szCs w:val="21"/>
        </w:rPr>
      </w:pPr>
      <w:r>
        <w:rPr>
          <w:rFonts w:cs="Arial" w:hint="eastAsia"/>
          <w:color w:val="000000"/>
        </w:rPr>
        <w:t>平均资本成本的计算、量本利分析概述、资本结构优化、股利政策与企业价值</w:t>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50210"/>
            <wp:effectExtent l="0" t="0" r="0" b="2540"/>
            <wp:docPr id="5" name="图片 5" descr="http://img.wangxiao.cn/bjupload/2019-09-11/a89715b7-799f-481e-958b-285d56984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wangxiao.cn/bjupload/2019-09-11/a89715b7-799f-481e-958b-285d5698428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3037205"/>
            <wp:effectExtent l="0" t="0" r="0" b="0"/>
            <wp:docPr id="4" name="图片 4" descr="http://img.wangxiao.cn/bjupload/2019-09-11/cbcba052-e00d-44c7-8249-bcb689a1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wangxiao.cn/bjupload/2019-09-11/cbcba052-e00d-44c7-8249-bcb689a1065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9390" cy="303720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97835"/>
            <wp:effectExtent l="0" t="0" r="0" b="0"/>
            <wp:docPr id="3" name="图片 3" descr="http://img.wangxiao.cn/bjupload/2019-09-11/5e87380e-8049-4a18-991a-f456a5653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wangxiao.cn/bjupload/2019-09-11/5e87380e-8049-4a18-991a-f456a5653f1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63515" cy="3045460"/>
            <wp:effectExtent l="0" t="0" r="0" b="2540"/>
            <wp:docPr id="2" name="图片 2" descr="http://img.wangxiao.cn/bjupload/2019-09-11/6e735e11-3f61-49c3-96d1-36a3af2e8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wangxiao.cn/bjupload/2019-09-11/6e735e11-3f61-49c3-96d1-36a3af2e86ac.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3515" cy="3045460"/>
                    </a:xfrm>
                    <a:prstGeom prst="rect">
                      <a:avLst/>
                    </a:prstGeom>
                    <a:noFill/>
                    <a:ln>
                      <a:noFill/>
                    </a:ln>
                  </pic:spPr>
                </pic:pic>
              </a:graphicData>
            </a:graphic>
          </wp:inline>
        </w:drawing>
      </w:r>
    </w:p>
    <w:p w:rsidR="004C3CFA" w:rsidRDefault="004C3CFA" w:rsidP="004C3CFA">
      <w:pPr>
        <w:pStyle w:val="a3"/>
        <w:spacing w:before="75" w:beforeAutospacing="0" w:after="75" w:afterAutospacing="0"/>
        <w:rPr>
          <w:rFonts w:ascii="Arial" w:hAnsi="Arial" w:cs="Arial"/>
          <w:color w:val="000000"/>
          <w:sz w:val="21"/>
          <w:szCs w:val="21"/>
        </w:rPr>
      </w:pPr>
      <w:r>
        <w:rPr>
          <w:rFonts w:cs="Arial"/>
          <w:noProof/>
          <w:color w:val="000000"/>
        </w:rPr>
        <w:drawing>
          <wp:inline distT="0" distB="0" distL="0" distR="0">
            <wp:extent cx="5279390" cy="2981960"/>
            <wp:effectExtent l="0" t="0" r="0" b="8890"/>
            <wp:docPr id="1" name="图片 1" descr="http://img.wangxiao.cn/bjupload/2019-09-11/fe22576a-e428-414c-9f1d-f1482bf59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wangxiao.cn/bjupload/2019-09-11/fe22576a-e428-414c-9f1d-f1482bf59cf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9390" cy="2981960"/>
                    </a:xfrm>
                    <a:prstGeom prst="rect">
                      <a:avLst/>
                    </a:prstGeom>
                    <a:noFill/>
                    <a:ln>
                      <a:noFill/>
                    </a:ln>
                  </pic:spPr>
                </pic:pic>
              </a:graphicData>
            </a:graphic>
          </wp:inline>
        </w:drawing>
      </w:r>
    </w:p>
    <w:p w:rsidR="004C3CFA" w:rsidRDefault="004C3CFA" w:rsidP="004C3CFA">
      <w:pPr>
        <w:pStyle w:val="a3"/>
        <w:spacing w:before="75" w:beforeAutospacing="0" w:after="240" w:afterAutospacing="0"/>
        <w:rPr>
          <w:rFonts w:ascii="Arial" w:hAnsi="Arial" w:cs="Arial"/>
          <w:color w:val="000000"/>
          <w:sz w:val="21"/>
          <w:szCs w:val="21"/>
        </w:rPr>
      </w:pPr>
    </w:p>
    <w:p w:rsidR="004C3CFA" w:rsidRDefault="004C3CFA" w:rsidP="004C3CFA">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4C3CFA" w:rsidRDefault="004C3CFA" w:rsidP="004C3CFA">
      <w:pPr>
        <w:pStyle w:val="a3"/>
        <w:spacing w:before="75" w:beforeAutospacing="0" w:after="75" w:afterAutospacing="0"/>
        <w:rPr>
          <w:rFonts w:ascii="Arial" w:hAnsi="Arial" w:cs="Arial"/>
          <w:color w:val="000000"/>
          <w:sz w:val="21"/>
          <w:szCs w:val="21"/>
        </w:rPr>
      </w:pPr>
      <w:hyperlink r:id="rId72"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4C3CFA" w:rsidRDefault="004C3CFA" w:rsidP="004C3CFA">
      <w:pPr>
        <w:pStyle w:val="a3"/>
        <w:spacing w:before="75" w:beforeAutospacing="0" w:after="75" w:afterAutospacing="0"/>
        <w:rPr>
          <w:rFonts w:ascii="Arial" w:hAnsi="Arial" w:cs="Arial"/>
          <w:color w:val="000000"/>
          <w:sz w:val="21"/>
          <w:szCs w:val="21"/>
        </w:rPr>
      </w:pPr>
      <w:hyperlink r:id="rId73"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4C2B5D" w:rsidRPr="004C3CFA" w:rsidRDefault="004C2B5D">
      <w:bookmarkStart w:id="0" w:name="_GoBack"/>
      <w:bookmarkEnd w:id="0"/>
    </w:p>
    <w:sectPr w:rsidR="004C2B5D" w:rsidRPr="004C3CF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7C5"/>
    <w:rsid w:val="004C2B5D"/>
    <w:rsid w:val="004C3CFA"/>
    <w:rsid w:val="004E0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3CF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C3CFA"/>
    <w:rPr>
      <w:b/>
      <w:bCs/>
    </w:rPr>
  </w:style>
  <w:style w:type="character" w:styleId="a5">
    <w:name w:val="Hyperlink"/>
    <w:basedOn w:val="a0"/>
    <w:uiPriority w:val="99"/>
    <w:semiHidden/>
    <w:unhideWhenUsed/>
    <w:rsid w:val="004C3CFA"/>
    <w:rPr>
      <w:color w:val="0000FF"/>
      <w:u w:val="single"/>
    </w:rPr>
  </w:style>
  <w:style w:type="paragraph" w:styleId="a6">
    <w:name w:val="Balloon Text"/>
    <w:basedOn w:val="a"/>
    <w:link w:val="Char"/>
    <w:uiPriority w:val="99"/>
    <w:semiHidden/>
    <w:unhideWhenUsed/>
    <w:rsid w:val="004C3CFA"/>
    <w:rPr>
      <w:sz w:val="18"/>
      <w:szCs w:val="18"/>
    </w:rPr>
  </w:style>
  <w:style w:type="character" w:customStyle="1" w:styleId="Char">
    <w:name w:val="批注框文本 Char"/>
    <w:basedOn w:val="a0"/>
    <w:link w:val="a6"/>
    <w:uiPriority w:val="99"/>
    <w:semiHidden/>
    <w:rsid w:val="004C3CF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3CF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C3CFA"/>
    <w:rPr>
      <w:b/>
      <w:bCs/>
    </w:rPr>
  </w:style>
  <w:style w:type="character" w:styleId="a5">
    <w:name w:val="Hyperlink"/>
    <w:basedOn w:val="a0"/>
    <w:uiPriority w:val="99"/>
    <w:semiHidden/>
    <w:unhideWhenUsed/>
    <w:rsid w:val="004C3CFA"/>
    <w:rPr>
      <w:color w:val="0000FF"/>
      <w:u w:val="single"/>
    </w:rPr>
  </w:style>
  <w:style w:type="paragraph" w:styleId="a6">
    <w:name w:val="Balloon Text"/>
    <w:basedOn w:val="a"/>
    <w:link w:val="Char"/>
    <w:uiPriority w:val="99"/>
    <w:semiHidden/>
    <w:unhideWhenUsed/>
    <w:rsid w:val="004C3CFA"/>
    <w:rPr>
      <w:sz w:val="18"/>
      <w:szCs w:val="18"/>
    </w:rPr>
  </w:style>
  <w:style w:type="character" w:customStyle="1" w:styleId="Char">
    <w:name w:val="批注框文本 Char"/>
    <w:basedOn w:val="a0"/>
    <w:link w:val="a6"/>
    <w:uiPriority w:val="99"/>
    <w:semiHidden/>
    <w:rsid w:val="004C3C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hyperlink" Target="http://fabu.wangxiao.cn/manage/news/%7B"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gif"/><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image" Target="media/image63.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hyperlink" Target="http://www.wangxiao.cn/kjzc/zhongji/"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gif"/><Relationship Id="rId73" Type="http://schemas.openxmlformats.org/officeDocument/2006/relationships/hyperlink" Target="http://fabu.wangxiao.cn/manage/news/%7B" TargetMode="External"/><Relationship Id="rId4" Type="http://schemas.openxmlformats.org/officeDocument/2006/relationships/webSettings" Target="webSettings.xml"/><Relationship Id="rId9" Type="http://schemas.openxmlformats.org/officeDocument/2006/relationships/hyperlink" Target="http://www.wangxiao.cn/zq/"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hyperlink" Target="http://www.wangxiao.cn/kjzc/2761464.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wangxiao.cn/kjzc/2761464.html"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gif"/><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2180</Words>
  <Characters>12432</Characters>
  <Application>Microsoft Office Word</Application>
  <DocSecurity>0</DocSecurity>
  <Lines>103</Lines>
  <Paragraphs>29</Paragraphs>
  <ScaleCrop>false</ScaleCrop>
  <Company>Microsoft</Company>
  <LinksUpToDate>false</LinksUpToDate>
  <CharactersWithSpaces>14583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2019-09-19T04:01:00Z</dcterms:created>
  <dcterms:modified xsi:type="dcterms:W3CDTF">2019-09-19T04:01:00Z</dcterms:modified>
</cp:coreProperties>
</file>