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val="0"/>
        <w:snapToGrid w:val="0"/>
        <w:spacing w:line="560" w:lineRule="exact"/>
        <w:ind w:right="0" w:rightChars="0"/>
        <w:textAlignment w:val="auto"/>
        <w:outlineLvl w:val="9"/>
        <w:rPr>
          <w:rFonts w:hint="eastAsia" w:ascii="黑体" w:hAnsi="黑体" w:eastAsia="黑体"/>
          <w:bCs/>
          <w:kern w:val="0"/>
          <w:sz w:val="32"/>
          <w:szCs w:val="32"/>
          <w:lang w:val="en-US" w:eastAsia="zh-CN"/>
        </w:rPr>
      </w:pPr>
      <w:r>
        <w:rPr>
          <w:rFonts w:hint="eastAsia" w:ascii="黑体" w:hAnsi="黑体" w:eastAsia="黑体"/>
          <w:bCs/>
          <w:kern w:val="0"/>
          <w:sz w:val="32"/>
          <w:szCs w:val="32"/>
        </w:rPr>
        <w:t>附件</w:t>
      </w:r>
      <w:r>
        <w:rPr>
          <w:rFonts w:hint="eastAsia" w:ascii="黑体" w:hAnsi="黑体" w:eastAsia="黑体"/>
          <w:bCs/>
          <w:kern w:val="0"/>
          <w:sz w:val="32"/>
          <w:szCs w:val="32"/>
          <w:lang w:val="en-US" w:eastAsia="zh-CN"/>
        </w:rPr>
        <w:t>4</w:t>
      </w:r>
    </w:p>
    <w:p>
      <w:pPr>
        <w:pStyle w:val="2"/>
        <w:keepNext w:val="0"/>
        <w:keepLines w:val="0"/>
        <w:widowControl/>
        <w:suppressLineNumbers w:val="0"/>
        <w:ind w:left="0" w:firstLine="0"/>
        <w:jc w:val="center"/>
        <w:rPr>
          <w:rFonts w:hint="eastAsia" w:ascii="黑体" w:hAnsi="宋体" w:eastAsia="黑体" w:cs="黑体"/>
          <w:i w:val="0"/>
          <w:caps w:val="0"/>
          <w:color w:val="3484FF"/>
          <w:spacing w:val="0"/>
        </w:rPr>
      </w:pPr>
    </w:p>
    <w:p>
      <w:pPr>
        <w:pStyle w:val="2"/>
        <w:keepNext w:val="0"/>
        <w:keepLines w:val="0"/>
        <w:widowControl/>
        <w:suppressLineNumbers w:val="0"/>
        <w:ind w:left="0" w:firstLine="0"/>
        <w:jc w:val="center"/>
        <w:rPr>
          <w:rFonts w:ascii="黑体" w:hAnsi="宋体" w:eastAsia="黑体" w:cs="黑体"/>
          <w:i w:val="0"/>
          <w:caps w:val="0"/>
          <w:color w:val="000000" w:themeColor="text1"/>
          <w:spacing w:val="0"/>
          <w14:textFill>
            <w14:solidFill>
              <w14:schemeClr w14:val="tx1"/>
            </w14:solidFill>
          </w14:textFill>
        </w:rPr>
      </w:pPr>
      <w:r>
        <w:rPr>
          <w:rFonts w:hint="eastAsia" w:ascii="黑体" w:hAnsi="宋体" w:eastAsia="黑体" w:cs="黑体"/>
          <w:i w:val="0"/>
          <w:caps w:val="0"/>
          <w:color w:val="000000" w:themeColor="text1"/>
          <w:spacing w:val="0"/>
          <w14:textFill>
            <w14:solidFill>
              <w14:schemeClr w14:val="tx1"/>
            </w14:solidFill>
          </w14:textFill>
        </w:rPr>
        <w:t>关于印发《勘察设计注册土木工程师（道路工程）新旧专业参照表（2019）》的通知</w:t>
      </w:r>
    </w:p>
    <w:p>
      <w:pPr>
        <w:pStyle w:val="3"/>
        <w:keepNext w:val="0"/>
        <w:keepLines w:val="0"/>
        <w:widowControl/>
        <w:suppressLineNumbers w:val="0"/>
        <w:spacing w:before="60" w:beforeAutospacing="0" w:after="60" w:afterAutospacing="0"/>
        <w:ind w:left="0" w:right="0" w:firstLine="0"/>
        <w:jc w:val="center"/>
        <w:rPr>
          <w:rFonts w:hint="eastAsia" w:asciiTheme="majorEastAsia" w:hAnsiTheme="majorEastAsia" w:eastAsiaTheme="majorEastAsia" w:cstheme="majorEastAsia"/>
          <w:i w:val="0"/>
          <w:caps w:val="0"/>
          <w:color w:val="000000"/>
          <w:spacing w:val="0"/>
          <w:sz w:val="19"/>
          <w:szCs w:val="19"/>
        </w:rPr>
      </w:pPr>
      <w:r>
        <w:rPr>
          <w:rFonts w:hint="eastAsia" w:asciiTheme="majorEastAsia" w:hAnsiTheme="majorEastAsia" w:eastAsiaTheme="majorEastAsia" w:cstheme="majorEastAsia"/>
          <w:i w:val="0"/>
          <w:caps w:val="0"/>
          <w:color w:val="000000"/>
          <w:spacing w:val="0"/>
          <w:sz w:val="19"/>
          <w:szCs w:val="19"/>
        </w:rPr>
        <w:t>注工〔2019〕7号</w:t>
      </w: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19"/>
          <w:szCs w:val="19"/>
        </w:rPr>
      </w:pP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rPr>
        <w:t>各省、自治区、直辖市、新疆生产建设兵团及部分副省级市勘察设计注册工程师管理机构，人力资源和社会保障厅（局）人事考试机构，国务院有关部门、中央军委后勤保障部军事设施建设局注册工程师管理机构：</w:t>
      </w: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19"/>
          <w:szCs w:val="19"/>
        </w:rPr>
      </w:pPr>
    </w:p>
    <w:p>
      <w:pPr>
        <w:pStyle w:val="3"/>
        <w:keepNext w:val="0"/>
        <w:keepLines w:val="0"/>
        <w:widowControl/>
        <w:suppressLineNumbers w:val="0"/>
        <w:spacing w:before="60" w:beforeAutospacing="0" w:after="60" w:afterAutospacing="0"/>
        <w:ind w:left="0" w:right="0" w:firstLine="0"/>
        <w:jc w:val="both"/>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rPr>
        <w:t>　　为保证勘察设计注册工程师执业资格考试工作实施，根据《教育部关于印发〈普通高等学校本科专业目录（2012）〉〈普通高等学校本科专业设置管理规定〉等文件的通知》（教高〔2012〕9号）精神，全国勘察设计注册工程师道路工程专业管理委员会对勘察设计注册土木工程师（道路工程）专业名称进行了更新。经报住房和城乡建设部、人力资源和社会保障部批准，现予以公布。</w:t>
      </w: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rPr>
        <w:t> </w:t>
      </w: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rPr>
        <w:t>　　附件：勘察设计注册土木工程师（道路工程）新旧专业参照表（2019）</w:t>
      </w: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rPr>
        <w:t> </w:t>
      </w: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rPr>
        <w:t> </w:t>
      </w: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rPr>
        <w:t>　　　　　　　　　　　　　　　　　　　　　　　　　全国勘察设计注册工程师管理委员会</w:t>
      </w: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rPr>
        <w:t>　　　　　　　　　　　　　　　　　　　　　　　　　　　　</w:t>
      </w:r>
      <w:bookmarkStart w:id="0" w:name="_GoBack"/>
      <w:bookmarkEnd w:id="0"/>
      <w:r>
        <w:rPr>
          <w:rFonts w:hint="default" w:ascii="sans-serif" w:hAnsi="sans-serif" w:eastAsia="sans-serif" w:cs="sans-serif"/>
          <w:i w:val="0"/>
          <w:caps w:val="0"/>
          <w:color w:val="000000"/>
          <w:spacing w:val="0"/>
          <w:sz w:val="19"/>
          <w:szCs w:val="19"/>
        </w:rPr>
        <w:t>　　　　2019年7月3日</w:t>
      </w: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19"/>
          <w:szCs w:val="19"/>
        </w:rPr>
      </w:pPr>
    </w:p>
    <w:p>
      <w:pPr>
        <w:pStyle w:val="3"/>
        <w:keepNext w:val="0"/>
        <w:keepLines w:val="0"/>
        <w:widowControl/>
        <w:suppressLineNumbers w:val="0"/>
        <w:spacing w:before="60" w:beforeAutospacing="0" w:after="60" w:afterAutospacing="0"/>
        <w:ind w:left="0" w:right="0" w:firstLine="480"/>
        <w:rPr>
          <w:rFonts w:hint="default" w:ascii="sans-serif" w:hAnsi="sans-serif" w:eastAsia="sans-serif" w:cs="sans-serif"/>
          <w:i w:val="0"/>
          <w:caps w:val="0"/>
          <w:color w:val="000000"/>
          <w:spacing w:val="0"/>
          <w:sz w:val="19"/>
          <w:szCs w:val="19"/>
        </w:rPr>
      </w:pPr>
      <w:r>
        <w:rPr>
          <w:rFonts w:ascii="仿宋" w:hAnsi="仿宋" w:eastAsia="仿宋" w:cs="仿宋"/>
          <w:i w:val="0"/>
          <w:caps w:val="0"/>
          <w:color w:val="000000"/>
          <w:spacing w:val="0"/>
          <w:sz w:val="25"/>
          <w:szCs w:val="25"/>
        </w:rPr>
        <w:t> </w:t>
      </w:r>
    </w:p>
    <w:p>
      <w:pPr>
        <w:pStyle w:val="3"/>
        <w:keepNext w:val="0"/>
        <w:keepLines w:val="0"/>
        <w:widowControl/>
        <w:suppressLineNumbers w:val="0"/>
        <w:spacing w:before="60" w:beforeAutospacing="0" w:after="60" w:afterAutospacing="0"/>
        <w:ind w:left="0" w:right="0" w:firstLine="480"/>
        <w:rPr>
          <w:rFonts w:hint="default" w:ascii="sans-serif" w:hAnsi="sans-serif" w:eastAsia="sans-serif" w:cs="sans-serif"/>
          <w:i w:val="0"/>
          <w:caps w:val="0"/>
          <w:color w:val="000000"/>
          <w:spacing w:val="0"/>
          <w:sz w:val="19"/>
          <w:szCs w:val="19"/>
        </w:rPr>
      </w:pPr>
      <w:r>
        <w:rPr>
          <w:rFonts w:hint="eastAsia" w:ascii="仿宋" w:hAnsi="仿宋" w:eastAsia="仿宋" w:cs="仿宋"/>
          <w:i w:val="0"/>
          <w:caps w:val="0"/>
          <w:color w:val="000000"/>
          <w:spacing w:val="0"/>
          <w:sz w:val="25"/>
          <w:szCs w:val="25"/>
        </w:rPr>
        <w:t> </w:t>
      </w: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19"/>
          <w:szCs w:val="19"/>
        </w:rPr>
      </w:pP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rPr>
        <w:t>附件</w:t>
      </w:r>
    </w:p>
    <w:p>
      <w:pPr>
        <w:pStyle w:val="3"/>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caps w:val="0"/>
          <w:color w:val="000000"/>
          <w:spacing w:val="0"/>
          <w:sz w:val="19"/>
          <w:szCs w:val="19"/>
        </w:rPr>
      </w:pPr>
      <w:r>
        <w:rPr>
          <w:rStyle w:val="6"/>
          <w:rFonts w:hint="default" w:ascii="sans-serif" w:hAnsi="sans-serif" w:eastAsia="sans-serif" w:cs="sans-serif"/>
          <w:i w:val="0"/>
          <w:caps w:val="0"/>
          <w:color w:val="000000"/>
          <w:spacing w:val="0"/>
          <w:sz w:val="19"/>
          <w:szCs w:val="19"/>
        </w:rPr>
        <w:t>勘察设计注册土木工程师（道路工程）新旧专业</w:t>
      </w:r>
    </w:p>
    <w:p>
      <w:pPr>
        <w:pStyle w:val="3"/>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caps w:val="0"/>
          <w:color w:val="000000"/>
          <w:spacing w:val="0"/>
          <w:sz w:val="19"/>
          <w:szCs w:val="19"/>
        </w:rPr>
      </w:pPr>
      <w:r>
        <w:rPr>
          <w:rStyle w:val="6"/>
          <w:rFonts w:hint="default" w:ascii="sans-serif" w:hAnsi="sans-serif" w:eastAsia="sans-serif" w:cs="sans-serif"/>
          <w:i w:val="0"/>
          <w:caps w:val="0"/>
          <w:color w:val="000000"/>
          <w:spacing w:val="0"/>
          <w:sz w:val="19"/>
          <w:szCs w:val="19"/>
        </w:rPr>
        <w:t>参照表（2019）</w:t>
      </w: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19"/>
          <w:szCs w:val="19"/>
        </w:rPr>
      </w:pPr>
      <w:r>
        <w:rPr>
          <w:rFonts w:hint="eastAsia" w:ascii="仿宋" w:hAnsi="仿宋" w:eastAsia="仿宋" w:cs="仿宋"/>
          <w:i w:val="0"/>
          <w:caps w:val="0"/>
          <w:color w:val="000000"/>
          <w:spacing w:val="0"/>
          <w:sz w:val="19"/>
          <w:szCs w:val="19"/>
        </w:rPr>
        <w:t> </w:t>
      </w:r>
    </w:p>
    <w:tbl>
      <w:tblPr>
        <w:tblStyle w:val="4"/>
        <w:tblW w:w="6636" w:type="dxa"/>
        <w:jc w:val="center"/>
        <w:tblInd w:w="9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8"/>
        <w:gridCol w:w="2868"/>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2"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仿宋_GB2312" w:hAnsi="sans-serif" w:eastAsia="仿宋_GB2312" w:cs="仿宋_GB2312"/>
                <w:i w:val="0"/>
                <w:caps w:val="0"/>
                <w:color w:val="000000"/>
                <w:spacing w:val="0"/>
                <w:sz w:val="22"/>
                <w:szCs w:val="22"/>
              </w:rPr>
              <w:t>专业划分</w:t>
            </w:r>
          </w:p>
        </w:tc>
        <w:tc>
          <w:tcPr>
            <w:tcW w:w="286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sans-serif" w:eastAsia="仿宋_GB2312" w:cs="仿宋_GB2312"/>
                <w:i w:val="0"/>
                <w:caps w:val="0"/>
                <w:color w:val="000000"/>
                <w:spacing w:val="0"/>
                <w:sz w:val="22"/>
                <w:szCs w:val="22"/>
              </w:rPr>
              <w:t>新专业名称</w:t>
            </w:r>
          </w:p>
        </w:tc>
        <w:tc>
          <w:tcPr>
            <w:tcW w:w="25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sans-serif" w:eastAsia="仿宋_GB2312" w:cs="仿宋_GB2312"/>
                <w:i w:val="0"/>
                <w:caps w:val="0"/>
                <w:color w:val="000000"/>
                <w:spacing w:val="0"/>
                <w:sz w:val="22"/>
                <w:szCs w:val="22"/>
              </w:rPr>
              <w:t>旧专业名称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仿宋_GB2312" w:hAnsi="sans-serif" w:eastAsia="仿宋_GB2312" w:cs="仿宋_GB2312"/>
                <w:i w:val="0"/>
                <w:caps w:val="0"/>
                <w:color w:val="000000"/>
                <w:spacing w:val="0"/>
                <w:sz w:val="22"/>
                <w:szCs w:val="22"/>
              </w:rPr>
              <w:t>本专业</w:t>
            </w:r>
          </w:p>
        </w:tc>
        <w:tc>
          <w:tcPr>
            <w:tcW w:w="28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土木工程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道路桥梁与渡河工程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交通运输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交通工程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道路与铁道工程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交通运输规划与管理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桥梁与隧道工程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建筑与土木工程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交通运输工程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城市地下空间工程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工程管理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防灾减灾工程及防护工程</w:t>
            </w:r>
          </w:p>
        </w:tc>
        <w:tc>
          <w:tcPr>
            <w:tcW w:w="25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交通土建工程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公路工程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道路工程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公路与城市道路工程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桥梁工程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道路与桥梁工程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公路与桥梁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桥梁与隧道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公路隧道工程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隧道工程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市政工程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机场工程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铁道工程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铁道桥梁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城市道路与桥梁工程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地下工程与隧道工程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森林道路与桥梁工程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森林采伐与运输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城市轨道交通工程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结构工程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岩土工程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地下工程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地下工程与隧道工程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公路项目管理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公路工程管理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城镇建设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道路工程测量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交通规划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建筑工程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工业与民用建筑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仿宋_GB2312" w:hAnsi="sans-serif" w:eastAsia="仿宋_GB2312" w:cs="仿宋_GB2312"/>
                <w:i w:val="0"/>
                <w:caps w:val="0"/>
                <w:color w:val="000000"/>
                <w:spacing w:val="0"/>
                <w:sz w:val="22"/>
                <w:szCs w:val="22"/>
              </w:rPr>
              <w:t>相近专业</w:t>
            </w:r>
          </w:p>
        </w:tc>
        <w:tc>
          <w:tcPr>
            <w:tcW w:w="28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港口航道与海岸工程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地质工程水利水电工程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森林工程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风景园林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城乡规划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农业水利工程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工程造价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建筑环境与能源应用工程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给排水科学与工程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建筑电气与智能化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交通设备与控制工程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水文与水资源工程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测绘工程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勘查技术与工程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资源勘察工程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水务工程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地下水科学与工程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海洋工程与技术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交通管理工程</w:t>
            </w:r>
          </w:p>
        </w:tc>
        <w:tc>
          <w:tcPr>
            <w:tcW w:w="25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港口航道及治河工程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港口航道及海岸工程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港口及航道工程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港口水工建筑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航道（或整治）工程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河川枢纽及水电站建筑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军港建筑工程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水道与港口工程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水文地质与工程地质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海岸与海洋工程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勘察技术与工程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资源勘察工程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水工结构工程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水工建筑力学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水利水电建筑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水利水电工程建筑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水利水电工程施工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工程测量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地质工程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工程力学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工程监理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城市规划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sans-serif" w:eastAsia="仿宋_GB2312" w:cs="仿宋_GB2312"/>
                <w:i w:val="0"/>
                <w:caps w:val="0"/>
                <w:color w:val="000000"/>
                <w:spacing w:val="0"/>
                <w:sz w:val="22"/>
                <w:szCs w:val="22"/>
              </w:rPr>
              <w:t>其他专业</w:t>
            </w:r>
          </w:p>
        </w:tc>
        <w:tc>
          <w:tcPr>
            <w:tcW w:w="5448"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sans-serif" w:eastAsia="仿宋_GB2312" w:cs="仿宋_GB2312"/>
                <w:i w:val="0"/>
                <w:caps w:val="0"/>
                <w:color w:val="000000"/>
                <w:spacing w:val="0"/>
                <w:sz w:val="22"/>
                <w:szCs w:val="22"/>
              </w:rPr>
              <w:t>除本专业和相近专业外的工科专业</w:t>
            </w:r>
          </w:p>
        </w:tc>
      </w:tr>
    </w:tbl>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19"/>
          <w:szCs w:val="19"/>
        </w:rPr>
      </w:pPr>
    </w:p>
    <w:p>
      <w:pPr>
        <w:pStyle w:val="3"/>
        <w:keepNext w:val="0"/>
        <w:keepLines w:val="0"/>
        <w:widowControl/>
        <w:suppressLineNumbers w:val="0"/>
        <w:spacing w:before="60" w:beforeAutospacing="0" w:after="60" w:afterAutospacing="0"/>
        <w:ind w:left="0" w:right="0" w:firstLine="0"/>
        <w:jc w:val="both"/>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rPr>
        <w:t>　　注：1、表中“新专业名称”指中华人民共和国教育部2012年颁布的《普通高等学校本科目录》等规定的专业名称；“旧专业名称”指2012年《普通高等学校本科目录》颁布前各院校所采用的专业名称。</w:t>
      </w:r>
    </w:p>
    <w:p>
      <w:pPr>
        <w:pStyle w:val="3"/>
        <w:keepNext w:val="0"/>
        <w:keepLines w:val="0"/>
        <w:widowControl/>
        <w:suppressLineNumbers w:val="0"/>
        <w:spacing w:before="60" w:beforeAutospacing="0" w:after="60" w:afterAutospacing="0"/>
        <w:ind w:left="0" w:right="0" w:firstLine="0"/>
        <w:jc w:val="both"/>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rPr>
        <w:t>　　2、申请参加考试的人员，所学专业在“参照表”中未列出的，可在申报材料时，附在校学习专业基础课和专业课的“课程设置表”（由原毕业院校出具），经所在单位核实并提出符合“本专业”、“相近专业”、“其他专业”的意见后，由当地考试管理机构审核确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A6E41"/>
    <w:rsid w:val="025A38B3"/>
    <w:rsid w:val="0C2A6E41"/>
    <w:rsid w:val="32DA16DC"/>
    <w:rsid w:val="48630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2019-08-13T10:01:00Z</dcterms:created>
  <dc:creator>admin</dc:creator>
  <cp:lastModifiedBy>静守流年1425088673</cp:lastModifiedBy>
  <dcterms:modified xsi:type="dcterms:W3CDTF">2019-08-19T03:45:10Z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