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DD" w:rsidRPr="004B52DD" w:rsidRDefault="004B52DD" w:rsidP="004B52DD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2010</w:t>
      </w: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年</w:t>
      </w: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fldChar w:fldCharType="begin"/>
      </w: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instrText xml:space="preserve"> </w:instrText>
      </w:r>
      <w:r w:rsidRPr="004B52DD">
        <w:rPr>
          <w:rFonts w:ascii="Arial" w:eastAsia="宋体" w:hAnsi="Arial" w:cs="Arial" w:hint="eastAsia"/>
          <w:b/>
          <w:bCs/>
          <w:color w:val="000000"/>
          <w:kern w:val="0"/>
          <w:sz w:val="28"/>
          <w:szCs w:val="28"/>
        </w:rPr>
        <w:instrText>HYPERLINK "http://fabu.wangxiao.cn/manage/news/%7B" \l "http://www.wangxiao.cn/tj/#}{{{/}}}" \o "</w:instrText>
      </w:r>
      <w:r w:rsidRPr="004B52DD">
        <w:rPr>
          <w:rFonts w:ascii="Arial" w:eastAsia="宋体" w:hAnsi="Arial" w:cs="Arial" w:hint="eastAsia"/>
          <w:b/>
          <w:bCs/>
          <w:color w:val="000000"/>
          <w:kern w:val="0"/>
          <w:sz w:val="28"/>
          <w:szCs w:val="28"/>
        </w:rPr>
        <w:instrText>高级统计师</w:instrText>
      </w:r>
      <w:r w:rsidRPr="004B52DD">
        <w:rPr>
          <w:rFonts w:ascii="Arial" w:eastAsia="宋体" w:hAnsi="Arial" w:cs="Arial" w:hint="eastAsia"/>
          <w:b/>
          <w:bCs/>
          <w:color w:val="000000"/>
          <w:kern w:val="0"/>
          <w:sz w:val="28"/>
          <w:szCs w:val="28"/>
        </w:rPr>
        <w:instrText>" \t "_blank"</w:instrText>
      </w: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instrText xml:space="preserve"> </w:instrText>
      </w: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fldChar w:fldCharType="separate"/>
      </w:r>
      <w:r w:rsidRPr="004B52DD">
        <w:rPr>
          <w:rFonts w:ascii="Arial" w:eastAsia="宋体" w:hAnsi="Arial" w:cs="Arial"/>
          <w:b/>
          <w:bCs/>
          <w:color w:val="0000FF"/>
          <w:kern w:val="0"/>
          <w:sz w:val="28"/>
          <w:szCs w:val="28"/>
          <w:u w:val="single"/>
        </w:rPr>
        <w:t>高级统计师</w:t>
      </w: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fldChar w:fldCharType="end"/>
      </w: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资格考评结合试点考试</w:t>
      </w:r>
    </w:p>
    <w:p w:rsidR="004B52DD" w:rsidRPr="004B52DD" w:rsidRDefault="004B52DD" w:rsidP="004B52DD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高级</w:t>
      </w: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fldChar w:fldCharType="begin"/>
      </w: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instrText xml:space="preserve"> </w:instrText>
      </w:r>
      <w:r w:rsidRPr="004B52DD">
        <w:rPr>
          <w:rFonts w:ascii="Arial" w:eastAsia="宋体" w:hAnsi="Arial" w:cs="Arial" w:hint="eastAsia"/>
          <w:b/>
          <w:bCs/>
          <w:color w:val="000000"/>
          <w:kern w:val="0"/>
          <w:sz w:val="28"/>
          <w:szCs w:val="28"/>
        </w:rPr>
        <w:instrText>HYPERLINK "http://fabu.wangxiao.cn/manage/news/%7B" \l "http://www.wangxiao.cn/tj/#}{{{/}}}" \o "</w:instrText>
      </w:r>
      <w:r w:rsidRPr="004B52DD">
        <w:rPr>
          <w:rFonts w:ascii="Arial" w:eastAsia="宋体" w:hAnsi="Arial" w:cs="Arial" w:hint="eastAsia"/>
          <w:b/>
          <w:bCs/>
          <w:color w:val="000000"/>
          <w:kern w:val="0"/>
          <w:sz w:val="28"/>
          <w:szCs w:val="28"/>
        </w:rPr>
        <w:instrText>统计</w:instrText>
      </w:r>
      <w:r w:rsidRPr="004B52DD">
        <w:rPr>
          <w:rFonts w:ascii="Arial" w:eastAsia="宋体" w:hAnsi="Arial" w:cs="Arial" w:hint="eastAsia"/>
          <w:b/>
          <w:bCs/>
          <w:color w:val="000000"/>
          <w:kern w:val="0"/>
          <w:sz w:val="28"/>
          <w:szCs w:val="28"/>
        </w:rPr>
        <w:instrText>" \t "_blank"</w:instrText>
      </w: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instrText xml:space="preserve"> </w:instrText>
      </w: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fldChar w:fldCharType="separate"/>
      </w:r>
      <w:r w:rsidRPr="004B52DD">
        <w:rPr>
          <w:rFonts w:ascii="Arial" w:eastAsia="宋体" w:hAnsi="Arial" w:cs="Arial"/>
          <w:b/>
          <w:bCs/>
          <w:color w:val="0000FF"/>
          <w:kern w:val="0"/>
          <w:sz w:val="28"/>
          <w:szCs w:val="28"/>
          <w:u w:val="single"/>
        </w:rPr>
        <w:t>统计</w:t>
      </w: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fldChar w:fldCharType="end"/>
      </w: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实务试题卷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注意事项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1.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本试卷有两部分，共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10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道题，满分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150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分。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2.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在你拿到试卷的同时将得到一份专用答题卡，所有试题务必在专用答题卡上作答，在试卷或草稿纸上作答不得分。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3.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用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2B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铅笔填涂答题卡首页的准考证号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;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答题以及需要填写姓名、准考证号码的地方用黑色签字笔书写。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4.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答题时请认真阅读试题，对准题号作答。</w:t>
      </w:r>
    </w:p>
    <w:p w:rsidR="004B52DD" w:rsidRPr="004B52DD" w:rsidRDefault="004B52DD" w:rsidP="004B52DD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第一部分</w:t>
      </w: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 xml:space="preserve"> </w:t>
      </w: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必答题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第一题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(10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分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)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今年我国将进行第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6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次全国人口普查。请问，人口普查对象有哪些法定义务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?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对人口普查对象的违法行为，应如何处理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?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第二题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(10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分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)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中新网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×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月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×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日电：国家统计局今日发布数据，前三季度国内生产总值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217 817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亿元，比去年同期增长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7.7%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。请问上述文字中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“7.7%”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是发展速度还是增长速度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?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是同比还是环比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?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说说你对发展速度、增长速度、同比和环</w:t>
      </w:r>
      <w:proofErr w:type="gramStart"/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比概念</w:t>
      </w:r>
      <w:proofErr w:type="gramEnd"/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的理解。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第三题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(15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分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)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lastRenderedPageBreak/>
        <w:t>平均指标反映了总体某单位数量标志的一般水平。当统计部门公布一些平均指标时，许多人会觉得与自己的实际感受存在较大差距而产生困惑。请根据平均指标的特点，分析产生这一现象的原因，并简述在实际中应如何正确使用平均数。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第四题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(15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分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)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某医院某时间段的红眼病患者年龄分布如下表。表中数据显示，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20-</w:t>
      </w:r>
      <w:proofErr w:type="gramStart"/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29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岁组患红眼</w:t>
      </w:r>
      <w:proofErr w:type="gramEnd"/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患者最多，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10-19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岁组、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30-39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岁组次之，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40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岁以后剧降，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10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岁以下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fldChar w:fldCharType="begin"/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instrText xml:space="preserve"> </w:instrText>
      </w:r>
      <w:r w:rsidRPr="004B52DD">
        <w:rPr>
          <w:rFonts w:ascii="Arial" w:eastAsia="宋体" w:hAnsi="Arial" w:cs="Arial" w:hint="eastAsia"/>
          <w:color w:val="000000"/>
          <w:kern w:val="0"/>
          <w:sz w:val="28"/>
          <w:szCs w:val="28"/>
        </w:rPr>
        <w:instrText>HYPERLINK "http://www.wangxiao.cn/youer/" \o "</w:instrText>
      </w:r>
      <w:r w:rsidRPr="004B52DD">
        <w:rPr>
          <w:rFonts w:ascii="Arial" w:eastAsia="宋体" w:hAnsi="Arial" w:cs="Arial" w:hint="eastAsia"/>
          <w:color w:val="000000"/>
          <w:kern w:val="0"/>
          <w:sz w:val="28"/>
          <w:szCs w:val="28"/>
        </w:rPr>
        <w:instrText>儿童</w:instrText>
      </w:r>
      <w:r w:rsidRPr="004B52DD">
        <w:rPr>
          <w:rFonts w:ascii="Arial" w:eastAsia="宋体" w:hAnsi="Arial" w:cs="Arial" w:hint="eastAsia"/>
          <w:color w:val="000000"/>
          <w:kern w:val="0"/>
          <w:sz w:val="28"/>
          <w:szCs w:val="28"/>
        </w:rPr>
        <w:instrText>" \t "_blank"</w:instrTex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instrText xml:space="preserve"> </w:instrTex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fldChar w:fldCharType="separate"/>
      </w:r>
      <w:r w:rsidRPr="004B52DD">
        <w:rPr>
          <w:rFonts w:ascii="Arial" w:eastAsia="宋体" w:hAnsi="Arial" w:cs="Arial"/>
          <w:color w:val="0000FF"/>
          <w:kern w:val="0"/>
          <w:sz w:val="28"/>
          <w:szCs w:val="28"/>
          <w:u w:val="single"/>
        </w:rPr>
        <w:t>儿童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fldChar w:fldCharType="end"/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和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50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岁以上老年人较少，由此可以得到结论：红眼病对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10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岁到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39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岁人群侵害最多。请评价以上结论是否合理，并说明理由。</w:t>
      </w:r>
    </w:p>
    <w:p w:rsidR="004B52DD" w:rsidRPr="004B52DD" w:rsidRDefault="004B52DD" w:rsidP="004B52DD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某医院门诊红眼病患者年龄分布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630"/>
        <w:gridCol w:w="777"/>
        <w:gridCol w:w="777"/>
        <w:gridCol w:w="777"/>
        <w:gridCol w:w="777"/>
        <w:gridCol w:w="777"/>
        <w:gridCol w:w="777"/>
        <w:gridCol w:w="735"/>
        <w:gridCol w:w="761"/>
      </w:tblGrid>
      <w:tr w:rsidR="004B52DD" w:rsidRPr="004B52DD" w:rsidTr="004B52DD">
        <w:trPr>
          <w:trHeight w:val="450"/>
        </w:trPr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年龄组（岁）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0-9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10-19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20-29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30-39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40-49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50-59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60-69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70</w:t>
            </w: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以上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</w:tr>
      <w:tr w:rsidR="004B52DD" w:rsidRPr="004B52DD" w:rsidTr="004B52DD">
        <w:trPr>
          <w:trHeight w:val="450"/>
        </w:trPr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红眼患者数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1083</w:t>
            </w:r>
          </w:p>
        </w:tc>
      </w:tr>
      <w:tr w:rsidR="004B52DD" w:rsidRPr="004B52DD" w:rsidTr="004B52DD"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占红眼患者</w:t>
            </w:r>
          </w:p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比重（</w:t>
            </w: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%</w:t>
            </w: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4.8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19.4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32.5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21.3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10.0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7.2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3.9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0.9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100.0</w:t>
            </w:r>
          </w:p>
        </w:tc>
      </w:tr>
    </w:tbl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第五题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(25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分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)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简述国内生产总值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(GDP)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指标的主要作用和局限性。</w:t>
      </w:r>
    </w:p>
    <w:p w:rsidR="004B52DD" w:rsidRPr="004B52DD" w:rsidRDefault="004B52DD" w:rsidP="004B52DD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第二部分</w:t>
      </w: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 xml:space="preserve"> </w:t>
      </w: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选答题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本部</w:t>
      </w:r>
      <w:bookmarkStart w:id="0" w:name="_GoBack"/>
      <w:bookmarkEnd w:id="0"/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分有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5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道题，要求回答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3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道题。若多答，评卷时只对前三道答题打分。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第六题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(25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分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)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“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居民收入差距持续扩大不利于扩大消费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”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。请问这一判断是否正确，并作简要分析。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第七题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(25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分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)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法人单位和产业活动单位是统计工作的主要调查对象。请简述法人单位和产业活动单位所应具备的条件，并说明产业活动单位数与法人单位数的关系。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第八题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(25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分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)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请根据下表，分析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A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地区人口及社会经济的特点。</w:t>
      </w:r>
    </w:p>
    <w:p w:rsidR="004B52DD" w:rsidRPr="004B52DD" w:rsidRDefault="004B52DD" w:rsidP="004B52DD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2009</w:t>
      </w: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年</w:t>
      </w: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A</w:t>
      </w: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地区人口调查汇总数据</w:t>
      </w:r>
    </w:p>
    <w:tbl>
      <w:tblPr>
        <w:tblW w:w="6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815"/>
        <w:gridCol w:w="1380"/>
        <w:gridCol w:w="1485"/>
      </w:tblGrid>
      <w:tr w:rsidR="004B52DD" w:rsidRPr="004B52DD" w:rsidTr="004B52DD">
        <w:trPr>
          <w:trHeight w:val="285"/>
        </w:trPr>
        <w:tc>
          <w:tcPr>
            <w:tcW w:w="4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户别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家庭户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集体户</w:t>
            </w:r>
          </w:p>
        </w:tc>
      </w:tr>
      <w:tr w:rsidR="004B52DD" w:rsidRPr="004B52DD" w:rsidTr="004B52DD">
        <w:trPr>
          <w:trHeight w:val="285"/>
        </w:trPr>
        <w:tc>
          <w:tcPr>
            <w:tcW w:w="4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户数（万户）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51</w:t>
            </w:r>
          </w:p>
        </w:tc>
      </w:tr>
      <w:tr w:rsidR="004B52DD" w:rsidRPr="004B52DD" w:rsidTr="004B52DD">
        <w:trPr>
          <w:trHeight w:val="285"/>
        </w:trPr>
        <w:tc>
          <w:tcPr>
            <w:tcW w:w="4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人口数（万人）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1128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403</w:t>
            </w:r>
          </w:p>
        </w:tc>
      </w:tr>
      <w:tr w:rsidR="004B52DD" w:rsidRPr="004B52DD" w:rsidTr="004B52DD">
        <w:trPr>
          <w:trHeight w:val="285"/>
        </w:trPr>
        <w:tc>
          <w:tcPr>
            <w:tcW w:w="4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其中：男（万人）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575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302</w:t>
            </w:r>
          </w:p>
        </w:tc>
      </w:tr>
      <w:tr w:rsidR="004B52DD" w:rsidRPr="004B52DD" w:rsidTr="004B52DD">
        <w:trPr>
          <w:trHeight w:val="285"/>
        </w:trPr>
        <w:tc>
          <w:tcPr>
            <w:tcW w:w="22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分年龄人口（万人）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0-14</w:t>
            </w: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40</w:t>
            </w:r>
          </w:p>
        </w:tc>
      </w:tr>
      <w:tr w:rsidR="004B52DD" w:rsidRPr="004B52DD" w:rsidTr="004B52DD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15-59</w:t>
            </w: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733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343</w:t>
            </w:r>
          </w:p>
        </w:tc>
      </w:tr>
      <w:tr w:rsidR="004B52DD" w:rsidRPr="004B52DD" w:rsidTr="004B52DD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60</w:t>
            </w: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岁以上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4B52DD" w:rsidRPr="004B52DD" w:rsidTr="004B52DD">
        <w:trPr>
          <w:trHeight w:val="285"/>
        </w:trPr>
        <w:tc>
          <w:tcPr>
            <w:tcW w:w="22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6</w:t>
            </w: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岁及以上各受教</w:t>
            </w:r>
          </w:p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育程度</w:t>
            </w:r>
            <w:proofErr w:type="gramEnd"/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人口（万人）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57</w:t>
            </w:r>
          </w:p>
        </w:tc>
      </w:tr>
      <w:tr w:rsidR="004B52DD" w:rsidRPr="004B52DD" w:rsidTr="004B52DD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230</w:t>
            </w:r>
          </w:p>
        </w:tc>
      </w:tr>
      <w:tr w:rsidR="004B52DD" w:rsidRPr="004B52DD" w:rsidTr="004B52DD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高中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77</w:t>
            </w:r>
          </w:p>
        </w:tc>
      </w:tr>
      <w:tr w:rsidR="004B52DD" w:rsidRPr="004B52DD" w:rsidTr="004B52D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</w:t>
            </w:r>
          </w:p>
        </w:tc>
      </w:tr>
      <w:tr w:rsidR="004B52DD" w:rsidRPr="004B52DD" w:rsidTr="004B52DD">
        <w:trPr>
          <w:trHeight w:val="285"/>
        </w:trPr>
        <w:tc>
          <w:tcPr>
            <w:tcW w:w="4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非农业户口人口（万人）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733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73</w:t>
            </w:r>
          </w:p>
        </w:tc>
      </w:tr>
      <w:tr w:rsidR="004B52DD" w:rsidRPr="004B52DD" w:rsidTr="004B52DD">
        <w:trPr>
          <w:trHeight w:val="300"/>
        </w:trPr>
        <w:tc>
          <w:tcPr>
            <w:tcW w:w="22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按户口登记地分的人口（万人）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本乡镇街道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429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4B52DD" w:rsidRPr="004B52DD" w:rsidTr="004B52DD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本县市区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485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4B52DD" w:rsidRPr="004B52DD" w:rsidTr="004B52DD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其他县市区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383</w:t>
            </w:r>
          </w:p>
        </w:tc>
      </w:tr>
      <w:tr w:rsidR="004B52DD" w:rsidRPr="004B52DD" w:rsidTr="004B52DD">
        <w:trPr>
          <w:trHeight w:val="300"/>
        </w:trPr>
        <w:tc>
          <w:tcPr>
            <w:tcW w:w="40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调查前一周有工作收入人口（万人）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223</w:t>
            </w:r>
          </w:p>
        </w:tc>
      </w:tr>
    </w:tbl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第九题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(25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分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)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某地区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2000~2005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年期间工业增加值和工业生产者价格指数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(PPI)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资料如下表：</w:t>
      </w:r>
    </w:p>
    <w:tbl>
      <w:tblPr>
        <w:tblW w:w="6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81"/>
        <w:gridCol w:w="781"/>
        <w:gridCol w:w="851"/>
        <w:gridCol w:w="851"/>
        <w:gridCol w:w="851"/>
        <w:gridCol w:w="851"/>
      </w:tblGrid>
      <w:tr w:rsidR="004B52DD" w:rsidRPr="004B52DD" w:rsidTr="004B52DD">
        <w:trPr>
          <w:trHeight w:val="480"/>
        </w:trPr>
        <w:tc>
          <w:tcPr>
            <w:tcW w:w="2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ind w:firstLine="105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年份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2000</w:t>
            </w: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2001</w:t>
            </w: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2002</w:t>
            </w: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2003</w:t>
            </w: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2004</w:t>
            </w: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2005</w:t>
            </w: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4B52DD" w:rsidRPr="004B52DD" w:rsidTr="004B52DD">
        <w:trPr>
          <w:trHeight w:val="765"/>
        </w:trPr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工业增加值</w:t>
            </w:r>
          </w:p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（现价，亿元）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2 520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2 620</w:t>
            </w:r>
          </w:p>
        </w:tc>
      </w:tr>
      <w:tr w:rsidR="004B52DD" w:rsidRPr="004B52DD" w:rsidTr="004B52DD">
        <w:trPr>
          <w:trHeight w:val="810"/>
        </w:trPr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工业生产者价格指数</w:t>
            </w:r>
          </w:p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（上年价格＝</w:t>
            </w: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100</w:t>
            </w: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98.7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97.8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102.3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106.1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104.9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103.0</w:t>
            </w:r>
          </w:p>
        </w:tc>
      </w:tr>
    </w:tbl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请根据上述数据计算：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1.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按现价计算该地区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2001-2005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年期间工业增加值的年平均增长量和增长速度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;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2.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按可比价计算该地区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2001-2005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年期间工业增加值的年平均增长速度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;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3.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该地区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2000-2005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年期间工业生产者价格年平均涨幅。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(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列出计算公式即可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)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第十题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(25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分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)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依据第二次经济普查结果，某地区有零售业个体户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10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万户，从业人员数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30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万人。现拟对该地区零售业个体户的经营情况开展抽样调查。为比较不同抽样方法的适用性，分别采用简单随机抽样、以从业人员数为分层标志的分层随机抽样和以普查小区为</w:t>
      </w:r>
      <w:proofErr w:type="gramStart"/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群单位</w:t>
      </w:r>
      <w:proofErr w:type="gramEnd"/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的整群抽样，各抽取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500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户个体户、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500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户个体户和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60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个普查小区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(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内含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500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户个体户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)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进行调查，推算结果如下表：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370"/>
        <w:gridCol w:w="2610"/>
      </w:tblGrid>
      <w:tr w:rsidR="004B52DD" w:rsidRPr="004B52DD" w:rsidTr="004B52DD">
        <w:trPr>
          <w:trHeight w:val="420"/>
        </w:trPr>
        <w:tc>
          <w:tcPr>
            <w:tcW w:w="20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抽样方法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该地区零售业个体户销售额</w:t>
            </w:r>
          </w:p>
        </w:tc>
      </w:tr>
      <w:tr w:rsidR="004B52DD" w:rsidRPr="004B52DD" w:rsidTr="004B52DD">
        <w:trPr>
          <w:trHeight w:val="150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点估计值（亿元）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spacing w:line="15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方差估计值（亿元</w:t>
            </w: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vertAlign w:val="superscript"/>
              </w:rPr>
              <w:t>2</w:t>
            </w: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B52DD" w:rsidRPr="004B52DD" w:rsidTr="004B52DD">
        <w:trPr>
          <w:trHeight w:val="390"/>
        </w:trPr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简单随机抽样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ind w:right="210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535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ind w:right="210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2982</w:t>
            </w:r>
          </w:p>
        </w:tc>
      </w:tr>
      <w:tr w:rsidR="004B52DD" w:rsidRPr="004B52DD" w:rsidTr="004B52DD">
        <w:trPr>
          <w:trHeight w:val="390"/>
        </w:trPr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分层随机抽样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ind w:right="210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542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ind w:right="210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765</w:t>
            </w:r>
          </w:p>
        </w:tc>
      </w:tr>
      <w:tr w:rsidR="004B52DD" w:rsidRPr="004B52DD" w:rsidTr="004B52DD">
        <w:trPr>
          <w:trHeight w:val="420"/>
        </w:trPr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B52DD" w:rsidRPr="004B52DD" w:rsidRDefault="004B52DD" w:rsidP="004B52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整群抽样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ind w:right="210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524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B52DD" w:rsidRPr="004B52DD" w:rsidRDefault="004B52DD" w:rsidP="004B52DD">
            <w:pPr>
              <w:widowControl/>
              <w:ind w:right="210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4B52DD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6535</w:t>
            </w:r>
          </w:p>
        </w:tc>
      </w:tr>
    </w:tbl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要求：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1.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分别计算出在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95%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概率保证程度下三种抽样方法下零售业个体户销售额</w:t>
      </w:r>
      <w:proofErr w:type="gramStart"/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估</w:t>
      </w:r>
      <w:proofErr w:type="gramEnd"/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fldChar w:fldCharType="begin"/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instrText xml:space="preserve"> </w:instrText>
      </w:r>
      <w:r w:rsidRPr="004B52DD">
        <w:rPr>
          <w:rFonts w:ascii="Arial" w:eastAsia="宋体" w:hAnsi="Arial" w:cs="Arial" w:hint="eastAsia"/>
          <w:color w:val="000000"/>
          <w:kern w:val="0"/>
          <w:sz w:val="28"/>
          <w:szCs w:val="28"/>
        </w:rPr>
        <w:instrText>HYPERLINK "http://www.wangxiao.cn/jls/" \o "</w:instrText>
      </w:r>
      <w:r w:rsidRPr="004B52DD">
        <w:rPr>
          <w:rFonts w:ascii="Arial" w:eastAsia="宋体" w:hAnsi="Arial" w:cs="Arial" w:hint="eastAsia"/>
          <w:color w:val="000000"/>
          <w:kern w:val="0"/>
          <w:sz w:val="28"/>
          <w:szCs w:val="28"/>
        </w:rPr>
        <w:instrText>计量</w:instrText>
      </w:r>
      <w:r w:rsidRPr="004B52DD">
        <w:rPr>
          <w:rFonts w:ascii="Arial" w:eastAsia="宋体" w:hAnsi="Arial" w:cs="Arial" w:hint="eastAsia"/>
          <w:color w:val="000000"/>
          <w:kern w:val="0"/>
          <w:sz w:val="28"/>
          <w:szCs w:val="28"/>
        </w:rPr>
        <w:instrText>" \t "_blank"</w:instrTex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instrText xml:space="preserve"> </w:instrTex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fldChar w:fldCharType="separate"/>
      </w:r>
      <w:r w:rsidRPr="004B52DD">
        <w:rPr>
          <w:rFonts w:ascii="Arial" w:eastAsia="宋体" w:hAnsi="Arial" w:cs="Arial"/>
          <w:color w:val="0000FF"/>
          <w:kern w:val="0"/>
          <w:sz w:val="28"/>
          <w:szCs w:val="28"/>
          <w:u w:val="single"/>
        </w:rPr>
        <w:t>计量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fldChar w:fldCharType="end"/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的最大相对误差，哪种抽样方法下的估计量精度最高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?(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保留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1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位小数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)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2.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设计效应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(</w:t>
      </w:r>
      <w:proofErr w:type="spellStart"/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Deff</w:t>
      </w:r>
      <w:proofErr w:type="spellEnd"/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)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的概念是什么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?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请计算分层随机抽样和整群抽样的设计效应。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(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保留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3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位小数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)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3.</w:t>
      </w:r>
      <w:r w:rsidRPr="004B52DD">
        <w:rPr>
          <w:rFonts w:ascii="Arial" w:eastAsia="宋体" w:hAnsi="Arial" w:cs="Arial"/>
          <w:color w:val="000000"/>
          <w:kern w:val="0"/>
          <w:sz w:val="28"/>
          <w:szCs w:val="28"/>
        </w:rPr>
        <w:t>从实际出发，对上述三种抽样方法的适用性进行简要评价。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4B52DD">
        <w:rPr>
          <w:rFonts w:ascii="Arial" w:eastAsia="宋体" w:hAnsi="Arial" w:cs="Arial"/>
          <w:b/>
          <w:bCs/>
          <w:color w:val="000000"/>
          <w:kern w:val="0"/>
          <w:sz w:val="28"/>
          <w:szCs w:val="28"/>
        </w:rPr>
        <w:t>编辑推荐：</w:t>
      </w:r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hyperlink r:id="rId5" w:anchor="http://www.wangxiao.cn/tj/dt/zkz/quanguo/62336233430.html#}{{{/4290/quanguo/62459690219.html}}}" w:tgtFrame="_blank" w:tooltip="2014年度统计师考试准考证打印汇总" w:history="1">
        <w:r w:rsidRPr="004B52DD">
          <w:rPr>
            <w:rFonts w:ascii="Arial" w:eastAsia="宋体" w:hAnsi="Arial" w:cs="Arial"/>
            <w:color w:val="0000FF"/>
            <w:kern w:val="0"/>
            <w:sz w:val="28"/>
            <w:szCs w:val="28"/>
            <w:u w:val="single"/>
          </w:rPr>
          <w:t>2014</w:t>
        </w:r>
        <w:r w:rsidRPr="004B52DD">
          <w:rPr>
            <w:rFonts w:ascii="Arial" w:eastAsia="宋体" w:hAnsi="Arial" w:cs="Arial"/>
            <w:color w:val="0000FF"/>
            <w:kern w:val="0"/>
            <w:sz w:val="28"/>
            <w:szCs w:val="28"/>
            <w:u w:val="single"/>
          </w:rPr>
          <w:t>年度统计师考试准考证打印汇总</w:t>
        </w:r>
      </w:hyperlink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hyperlink r:id="rId6" w:anchor="http://www.wangxiao.cn/tj/class/gonggao/50095009586.html#}{{{/1647/50218466375.html}}}" w:tgtFrame="_blank" w:tooltip="2014年统计师核心考点备考方案" w:history="1">
        <w:r w:rsidRPr="004B52DD">
          <w:rPr>
            <w:rFonts w:ascii="Arial" w:eastAsia="宋体" w:hAnsi="Arial" w:cs="Arial"/>
            <w:color w:val="0000FF"/>
            <w:kern w:val="0"/>
            <w:sz w:val="28"/>
            <w:szCs w:val="28"/>
            <w:u w:val="single"/>
          </w:rPr>
          <w:t>2014</w:t>
        </w:r>
        <w:r w:rsidRPr="004B52DD">
          <w:rPr>
            <w:rFonts w:ascii="Arial" w:eastAsia="宋体" w:hAnsi="Arial" w:cs="Arial"/>
            <w:color w:val="0000FF"/>
            <w:kern w:val="0"/>
            <w:sz w:val="28"/>
            <w:szCs w:val="28"/>
            <w:u w:val="single"/>
          </w:rPr>
          <w:t>年统计</w:t>
        </w:r>
        <w:proofErr w:type="gramStart"/>
        <w:r w:rsidRPr="004B52DD">
          <w:rPr>
            <w:rFonts w:ascii="Arial" w:eastAsia="宋体" w:hAnsi="Arial" w:cs="Arial"/>
            <w:color w:val="0000FF"/>
            <w:kern w:val="0"/>
            <w:sz w:val="28"/>
            <w:szCs w:val="28"/>
            <w:u w:val="single"/>
          </w:rPr>
          <w:t>师核心</w:t>
        </w:r>
        <w:proofErr w:type="gramEnd"/>
        <w:r w:rsidRPr="004B52DD">
          <w:rPr>
            <w:rFonts w:ascii="Arial" w:eastAsia="宋体" w:hAnsi="Arial" w:cs="Arial"/>
            <w:color w:val="0000FF"/>
            <w:kern w:val="0"/>
            <w:sz w:val="28"/>
            <w:szCs w:val="28"/>
            <w:u w:val="single"/>
          </w:rPr>
          <w:t>考点备考方案</w:t>
        </w:r>
      </w:hyperlink>
    </w:p>
    <w:p w:rsidR="004B52DD" w:rsidRPr="004B52DD" w:rsidRDefault="004B52DD" w:rsidP="004B52DD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hyperlink r:id="rId7" w:anchor="http://www.wangxiao.cn/tj/class/gonggao/45104510236.html#}{{{/1647/45227967025.html}}}" w:tgtFrame="_blank" w:tooltip="2014年统计师备考技巧" w:history="1">
        <w:r w:rsidRPr="004B52DD">
          <w:rPr>
            <w:rFonts w:ascii="Arial" w:eastAsia="宋体" w:hAnsi="Arial" w:cs="Arial"/>
            <w:color w:val="0000FF"/>
            <w:kern w:val="0"/>
            <w:sz w:val="28"/>
            <w:szCs w:val="28"/>
            <w:u w:val="single"/>
          </w:rPr>
          <w:t>2014</w:t>
        </w:r>
        <w:r w:rsidRPr="004B52DD">
          <w:rPr>
            <w:rFonts w:ascii="Arial" w:eastAsia="宋体" w:hAnsi="Arial" w:cs="Arial"/>
            <w:color w:val="0000FF"/>
            <w:kern w:val="0"/>
            <w:sz w:val="28"/>
            <w:szCs w:val="28"/>
            <w:u w:val="single"/>
          </w:rPr>
          <w:t>年统计师备考技巧</w:t>
        </w:r>
      </w:hyperlink>
    </w:p>
    <w:p w:rsidR="002452BE" w:rsidRPr="004B52DD" w:rsidRDefault="002452BE" w:rsidP="004B52DD">
      <w:pPr>
        <w:rPr>
          <w:sz w:val="28"/>
          <w:szCs w:val="28"/>
        </w:rPr>
      </w:pPr>
    </w:p>
    <w:sectPr w:rsidR="002452BE" w:rsidRPr="004B5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15"/>
    <w:rsid w:val="00133F15"/>
    <w:rsid w:val="00220ECA"/>
    <w:rsid w:val="002452BE"/>
    <w:rsid w:val="004B52DD"/>
    <w:rsid w:val="00814C9F"/>
    <w:rsid w:val="00906C62"/>
    <w:rsid w:val="009316F1"/>
    <w:rsid w:val="00E9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16F1"/>
    <w:rPr>
      <w:color w:val="0000FF"/>
      <w:u w:val="single"/>
    </w:rPr>
  </w:style>
  <w:style w:type="character" w:styleId="a5">
    <w:name w:val="Strong"/>
    <w:basedOn w:val="a0"/>
    <w:uiPriority w:val="22"/>
    <w:qFormat/>
    <w:rsid w:val="009316F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814C9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14C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16F1"/>
    <w:rPr>
      <w:color w:val="0000FF"/>
      <w:u w:val="single"/>
    </w:rPr>
  </w:style>
  <w:style w:type="character" w:styleId="a5">
    <w:name w:val="Strong"/>
    <w:basedOn w:val="a0"/>
    <w:uiPriority w:val="22"/>
    <w:qFormat/>
    <w:rsid w:val="009316F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814C9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14C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bu.wangxiao.cn/manage/news/%7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bu.wangxiao.cn/manage/news/%7B" TargetMode="External"/><Relationship Id="rId5" Type="http://schemas.openxmlformats.org/officeDocument/2006/relationships/hyperlink" Target="http://fabu.wangxiao.cn/manage/news/%7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458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2019-08-14T08:56:00Z</cp:lastPrinted>
  <dcterms:created xsi:type="dcterms:W3CDTF">2019-08-14T08:57:00Z</dcterms:created>
  <dcterms:modified xsi:type="dcterms:W3CDTF">2019-08-14T08:57:00Z</dcterms:modified>
</cp:coreProperties>
</file>