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/>
          <w:bCs/>
          <w:sz w:val="44"/>
          <w:szCs w:val="44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住房城乡建设部关于2017年第三十五批一级建造师注册人员名单的公告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　　</w:t>
      </w:r>
    </w:p>
    <w:p>
      <w:pPr>
        <w:rPr>
          <w:rFonts w:hint="eastAsia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</w:rPr>
        <w:t>根据《注册建造师管理规定》（建设部令第153号）、《一级建造师注册实施办法》和《关于建设部机关直接实施的行政许可事项有关规定和内容的公告》（建设部公告第278号）规定，经审核，申请注册一级建造师的李明荣等1557人符合注册条件，准予注册。未批准注册的人员，可通过一级建造师注册管理系统查询不予注册原因，并可自行打印《一级建造师注册不予注册告知书》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特此公告。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附件：准予李明荣等1557名一级建造师注册人员名单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left="4800" w:hanging="4800" w:hangingChars="15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　　　　　　　　　　　　　　　　　　　　　　　　　　　　　　　　　　　　　　　　　　住房城乡建设部</w:t>
      </w:r>
    </w:p>
    <w:p>
      <w:pPr>
        <w:ind w:left="4800" w:hanging="4800" w:hangingChars="15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　　　　　　　　　　　　　　　　　　　　　　　　　　　　　　　　　　　　　　　　　　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2017年10月25日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宋体 ，Arial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0F6E19"/>
    <w:rsid w:val="590F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000000"/>
      <w:sz w:val="18"/>
      <w:szCs w:val="18"/>
      <w:u w:val="none"/>
      <w:bdr w:val="none" w:color="auto" w:sz="0" w:space="0"/>
    </w:rPr>
  </w:style>
  <w:style w:type="character" w:styleId="5">
    <w:name w:val="Hyperlink"/>
    <w:basedOn w:val="3"/>
    <w:uiPriority w:val="0"/>
    <w:rPr>
      <w:color w:val="000000"/>
      <w:sz w:val="18"/>
      <w:szCs w:val="18"/>
      <w:u w:val="none"/>
      <w:bdr w:val="none" w:color="auto" w:sz="0" w:space="0"/>
    </w:rPr>
  </w:style>
  <w:style w:type="paragraph" w:customStyle="1" w:styleId="7">
    <w:name w:val="pbj"/>
    <w:basedOn w:val="1"/>
    <w:uiPriority w:val="0"/>
    <w:pPr>
      <w:jc w:val="left"/>
    </w:pPr>
    <w:rPr>
      <w:kern w:val="0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2018-01-08T08:11:00Z</dcterms:created>
  <dc:creator>Administrator</dc:creator>
  <cp:lastModifiedBy>Administrator</cp:lastModifiedBy>
  <dcterms:modified xsi:type="dcterms:W3CDTF">2018-01-08T08:15:00Z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