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2017年度注册城乡规划师职业资格考试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专业、学历和工作年限要求</w:t>
      </w:r>
    </w:p>
    <w:tbl>
      <w:tblPr>
        <w:tblW w:w="856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79"/>
        <w:gridCol w:w="2204"/>
        <w:gridCol w:w="734"/>
        <w:gridCol w:w="2744"/>
        <w:gridCol w:w="14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blCellSpacing w:w="0" w:type="dxa"/>
        </w:trPr>
        <w:tc>
          <w:tcPr>
            <w:tcW w:w="137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b/>
                <w:i w:val="0"/>
                <w:caps w:val="0"/>
                <w:color w:val="000000"/>
                <w:spacing w:val="0"/>
                <w:sz w:val="24"/>
                <w:szCs w:val="24"/>
                <w:bdr w:val="none" w:color="auto" w:sz="0" w:space="0"/>
              </w:rPr>
              <w:t>专  业</w:t>
            </w: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i w:val="0"/>
                <w:caps w:val="0"/>
                <w:color w:val="000000"/>
                <w:spacing w:val="0"/>
                <w:sz w:val="24"/>
                <w:szCs w:val="24"/>
                <w:bdr w:val="none" w:color="auto" w:sz="0" w:space="0"/>
              </w:rPr>
              <w:t>学位或学历</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b/>
                <w:i w:val="0"/>
                <w:caps w:val="0"/>
                <w:color w:val="000000"/>
                <w:spacing w:val="0"/>
                <w:sz w:val="24"/>
                <w:szCs w:val="24"/>
                <w:bdr w:val="none" w:color="auto" w:sz="0" w:space="0"/>
              </w:rPr>
              <w:t>工作年限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restart"/>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划</w:t>
            </w: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专科</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2204" w:type="dxa"/>
            <w:vMerge w:val="restart"/>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本科学历或学位</w:t>
            </w:r>
          </w:p>
        </w:tc>
        <w:tc>
          <w:tcPr>
            <w:tcW w:w="3478" w:type="dxa"/>
            <w:gridSpan w:val="2"/>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取得城乡规划专业的</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2204"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3478" w:type="dxa"/>
            <w:gridSpan w:val="2"/>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专业评估（认证）的</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2204" w:type="dxa"/>
            <w:vMerge w:val="restart"/>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硕士学位</w:t>
            </w:r>
          </w:p>
        </w:tc>
        <w:tc>
          <w:tcPr>
            <w:tcW w:w="3478" w:type="dxa"/>
            <w:gridSpan w:val="2"/>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取得城乡规划专业的</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2204"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3478" w:type="dxa"/>
            <w:gridSpan w:val="2"/>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专业评估（认证）的</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博士</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城市规划</w:t>
            </w:r>
          </w:p>
        </w:tc>
        <w:tc>
          <w:tcPr>
            <w:tcW w:w="2938" w:type="dxa"/>
            <w:gridSpan w:val="2"/>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硕士学位（专业学位）</w:t>
            </w:r>
          </w:p>
        </w:tc>
        <w:tc>
          <w:tcPr>
            <w:tcW w:w="2744"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专业评估（认证）的</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restart"/>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建筑学</w:t>
            </w: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学士学位（专业学位）</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硕士学位（专业学位）</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restart"/>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其他专业</w:t>
            </w: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专科</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本科</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专业评估（认证）的本科学历或学位</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硕士学位</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专业评估（认证）的硕士学位</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vMerge w:val="continue"/>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5682" w:type="dxa"/>
            <w:gridSpan w:val="3"/>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pPr>
            <w:r>
              <w:rPr>
                <w:rFonts w:ascii="宋体" w:hAnsi="宋体" w:eastAsia="宋体" w:cs="宋体"/>
                <w:b w:val="0"/>
                <w:i w:val="0"/>
                <w:caps w:val="0"/>
                <w:color w:val="000000"/>
                <w:spacing w:val="0"/>
                <w:sz w:val="24"/>
                <w:szCs w:val="24"/>
                <w:bdr w:val="none" w:color="auto" w:sz="0" w:space="0"/>
              </w:rPr>
              <w:t>博士</w:t>
            </w:r>
          </w:p>
        </w:tc>
        <w:tc>
          <w:tcPr>
            <w:tcW w:w="1499" w:type="dxa"/>
            <w:tcBorders>
              <w:top w:val="single" w:color="auto" w:sz="8" w:space="0"/>
              <w:left w:val="single" w:color="auto" w:sz="8" w:space="0"/>
              <w:bottom w:val="single" w:color="auto" w:sz="8" w:space="0"/>
              <w:right w:val="single" w:color="auto" w:sz="8"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632" w:right="0"/>
              <w:jc w:val="center"/>
            </w:pPr>
            <w:r>
              <w:rPr>
                <w:rFonts w:ascii="宋体" w:hAnsi="宋体" w:eastAsia="宋体" w:cs="宋体"/>
                <w:b w:val="0"/>
                <w:i w:val="0"/>
                <w:caps w:val="0"/>
                <w:color w:val="000000"/>
                <w:spacing w:val="0"/>
                <w:sz w:val="24"/>
                <w:szCs w:val="24"/>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1379" w:type="dxa"/>
            <w:tcBorders>
              <w:top w:val="nil"/>
              <w:left w:val="nil"/>
              <w:bottom w:val="nil"/>
              <w:right w:val="nil"/>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2204" w:type="dxa"/>
            <w:tcBorders>
              <w:top w:val="nil"/>
              <w:left w:val="nil"/>
              <w:bottom w:val="nil"/>
              <w:right w:val="nil"/>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734" w:type="dxa"/>
            <w:tcBorders>
              <w:top w:val="nil"/>
              <w:left w:val="nil"/>
              <w:bottom w:val="nil"/>
              <w:right w:val="nil"/>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2744" w:type="dxa"/>
            <w:tcBorders>
              <w:top w:val="nil"/>
              <w:left w:val="nil"/>
              <w:bottom w:val="nil"/>
              <w:right w:val="nil"/>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c>
          <w:tcPr>
            <w:tcW w:w="1499" w:type="dxa"/>
            <w:tcBorders>
              <w:top w:val="nil"/>
              <w:left w:val="nil"/>
              <w:bottom w:val="nil"/>
              <w:right w:val="nil"/>
            </w:tcBorders>
            <w:shd w:val="clear" w:color="auto" w:fill="FFFFFF"/>
            <w:tcMar>
              <w:top w:w="90" w:type="dxa"/>
              <w:left w:w="90" w:type="dxa"/>
              <w:bottom w:w="90" w:type="dxa"/>
              <w:right w:w="90" w:type="dxa"/>
            </w:tcMar>
            <w:vAlign w:val="center"/>
          </w:tcPr>
          <w:p>
            <w:pPr>
              <w:rPr>
                <w:rFonts w:hint="eastAsia" w:ascii="宋体" w:hAnsi="宋体" w:eastAsia="宋体" w:cs="宋体"/>
                <w:b w:val="0"/>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948" w:right="0" w:hanging="948"/>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注：1.通过全国统一考试取得一级注册建筑师资格证书并符合《注册城乡规划师职业资格制度规定》（以下简称《规定》）中注册城乡规划师职业资格考试报考条件的，可免试《城乡规划原理》和《城乡规划相关知识》科目，成绩2年滚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948" w:right="0" w:hanging="948"/>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    2.符合《规定》第八条第（五）项报名条件的，可免试《城乡规划原理》科目，成绩3年滚动。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790" w:right="0" w:hanging="790"/>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    3.（1）在教育部颁布《普通高等学校本科专业目录（2012年）》之前，高等学校颁发的“城市规划”专业大学本科学历或学位，与《规定》第八条的“城乡规划”专业大学本科学历或学位等同。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790" w:right="0" w:hanging="790"/>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      （2）在国务院学位委员会、教育部颁布《学位授予和人才培养学科目录（2011年）》之前，高等学校颁发的“城市规划”或“城市规划设计”专业的硕士、博士层次相应学位，与《规定》第八条的“城乡规划”专业的硕士、博士层次学位等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790" w:right="0" w:hanging="790"/>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    4.（1）《规定》第八条的“建筑学学士学位（专业学位）”和“建筑学硕士学位（专业学位）”，是指根据国务院学位委员会颁布的《建筑学专业学位设置方案》，由国务院学位委员会授权的高等学校，在授权期内颁发的建筑学专业相应层次的专业学位，包括“建筑学学士”和“建筑学硕士”两个层次，不包括建筑学专业的工学学士学位、工学硕士学位以及“建筑与土木工程领域”的工程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790" w:right="0" w:hanging="790"/>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     （2）“城市规划硕士学位（专业学位）”是指由国务院学位委员会授权的高等学校，在授权期内颁发的“城市规划硕士”专业学位。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ascii="宋体" w:hAnsi="宋体" w:eastAsia="宋体" w:cs="宋体"/>
          <w:b/>
          <w:i w:val="0"/>
          <w:caps w:val="0"/>
          <w:color w:val="000000"/>
          <w:spacing w:val="0"/>
          <w:kern w:val="0"/>
          <w:sz w:val="24"/>
          <w:szCs w:val="24"/>
          <w:bdr w:val="none" w:color="auto" w:sz="0" w:space="0"/>
          <w:shd w:val="clear" w:fill="FFFFFF"/>
          <w:lang w:val="en-US" w:eastAsia="zh-CN" w:bidi="ar"/>
        </w:rPr>
        <w:t>资格审查注意事项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1．为简化办事环节和手续，按照国家相关要求，资格审查实行初审和复审两级审查，突出用人单位的主体责任，由报考人员所在单位进行资格初审。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2．市州人社部门对初审结果进行复审，及时公布公示复审结果，接受举报。并在规定时间内办理相关证书。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3．资格审查统一使用国家制发的《资格考试报名表》，报考人员、所在单位、人社部门在表内相应栏目内签名盖章，资格审查部门不得再自行增设签章环节。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4．省级人社部门加大对资格审查的指导和监督力度，不定期地对各地、各单位的资格审查工作进行检查、抽查和督促，并将资格审查工作纳入市州人社等部门年度绩效评估项目。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5．网上报名成功、缴费成功、准考证打印成功、考试成绩合格等并非资格审查合格，只有通过初审和复审两级审查的才认定为资格审查通过（如按规定被列入核查或抽查的，还须核查、抽查合格），方可办理后续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6．因特殊原因未在指定时间内进行资格审查的人员，可在下一年度考试成绩合格人员资格审查时申请审查一次。仍不进行资格审查的，视为报考人员自动放弃，资格考试等部门清理相关数据，不再予以资格审查及发证，后果由报考人员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ascii="宋体" w:hAnsi="宋体" w:eastAsia="宋体" w:cs="宋体"/>
          <w:b/>
          <w:i w:val="0"/>
          <w:caps w:val="0"/>
          <w:color w:val="000000"/>
          <w:spacing w:val="0"/>
          <w:kern w:val="0"/>
          <w:sz w:val="24"/>
          <w:szCs w:val="24"/>
          <w:bdr w:val="none" w:color="auto" w:sz="0" w:space="0"/>
          <w:shd w:val="clear" w:fill="FFFFFF"/>
          <w:lang w:val="en-US" w:eastAsia="zh-CN" w:bidi="ar"/>
        </w:rPr>
        <w:t>资格审查提交材料要求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textAlignment w:val="baseline"/>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按照人力资源社会保障部《关于加强和改进人力资源社会保障领域公共服务的意见》（人社部发〔2016〕44号）精神，资格审查部门要切实优化公共服务流程，大力简化办事手续，不得要求报考人员提供各类无谓的证明，不得进行“循环证明”验证，尽可能使报考人员办事更方便更顺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textAlignment w:val="baseline"/>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（一）初审材料要求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77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1.《资格考试报名表》1份，此表用于存入个人专业技术档案，网上报名系统自行下载，用A4纸打印。2.毕业证件。3.身份证件。4.报考人员认为需补充的辅证材料。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6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报考人员和资格审查部门在学历、资历、专业等方面按以下要求掌握：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78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报考人员需在本类别（专业）首次考试前获得国家教育、人社行政部门承认的正规学历。即2017年度新报考人员需在2017年度国家规定的考试日2017年10月21日（不含）前取得相应学历(以毕业证书为准)。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24"/>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正规学历即能在学信网上查询，或湖南省大中专学校学生信息咨询与就业指导中心网站、湖南省教育科学研究院学历学位认证中心网站查询，或能在技工院校毕业证书网上查询系统查询，或人社部门的技工院校毕业学籍认证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工作年限计算到2017年12月31日。全日制学历（以学历证书上标注的“全日制学历”或“脱产学习”为准）的学习年限（含实习期限），不计算为从事专业的工作年限。在职人员考取硕士生，学习时间计算工作年限（须有人社部门核准的连续就业社保证明）；非在职人员硕士生学习时间不计算工作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参加非全日制函授、自考等成人类中专、大专、本科、硕士等后续学历学习年限可累计计算工作年限。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16"/>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报考人员工作年限计算方法举例如下：①取得全日制学历后直接参加工作无后续学历的，工作年限从取得最高全日制学历算起。如：2011年取得全日制学历后参加工作无后续学历，2017年报考，工作年限为2012年—2017年共6年。②取得全日制学历参加工作后又取得后续学历的，相关工作年限可累计计算。如甲2011年取得全日制学历后参加工作，2012年—2014年取得非全日制学历，2017年报考，工作年限为2012年—2017年共6年；乙2011年取得全日制学历后参加工作，2013年—2015年取得全日制学历，2017年报考，工作年限为2012年1年、2016年—2017年2年，累计共3年。多个学历依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68"/>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textAlignment w:val="baseline"/>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（二）复审材料要求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1．已经所在单位初审后签字盖章的《资格考试报名表》1份。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2．所在单位签字盖章的从事工作年限的证明材料。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3．持教育部门学历的，出具已经所在单位初审合格的初审查验结果：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①国家学信网学历证书电子注册备案表查验页面、或省教育厅中等职业学校毕业证书查询系统查验页面、或湖南省毕业生就业网(</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instrText xml:space="preserve"> HYPERLINK "http://www.hunbys.com/" </w:instrTex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separate"/>
      </w:r>
      <w:r>
        <w:rPr>
          <w:rStyle w:val="4"/>
          <w:rFonts w:ascii="宋体" w:hAnsi="宋体" w:eastAsia="宋体" w:cs="宋体"/>
          <w:b w:val="0"/>
          <w:i w:val="0"/>
          <w:caps w:val="0"/>
          <w:color w:val="666666"/>
          <w:spacing w:val="0"/>
          <w:sz w:val="24"/>
          <w:szCs w:val="24"/>
          <w:u w:val="none"/>
          <w:bdr w:val="none" w:color="auto" w:sz="0" w:space="0"/>
          <w:shd w:val="clear" w:fill="FFFFFF"/>
        </w:rPr>
        <w:t>http://www.hunbys.com</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end"/>
      </w:r>
      <w:r>
        <w:rPr>
          <w:rFonts w:ascii="宋体" w:hAnsi="宋体" w:eastAsia="宋体" w:cs="宋体"/>
          <w:b w:val="0"/>
          <w:i w:val="0"/>
          <w:caps w:val="0"/>
          <w:color w:val="000000"/>
          <w:spacing w:val="0"/>
          <w:kern w:val="0"/>
          <w:sz w:val="24"/>
          <w:szCs w:val="24"/>
          <w:bdr w:val="none" w:color="auto" w:sz="0" w:space="0"/>
          <w:shd w:val="clear" w:fill="FFFFFF"/>
          <w:lang w:val="en-US" w:eastAsia="zh-CN" w:bidi="ar"/>
        </w:rPr>
        <w:t>)学历认证查验页面、或省教育科学研究院学历学位认证中心学历认证查验页面；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②在海外取得的学历学位，提供国家教育部留学服务中心学历学位认证查验证明材料；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③以非全日制学历报考的，还须提交非全日制之前所取得的已经初审合格的全日制学历证书复印件1份。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4．根据省人力资源社会保障厅《关于推进技工院校改革创新的若干意见的实施意见》（湘人社发〔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①2005年至2013年技工院校毕业的，提供湖南人力资源社会保障公共服务网技工院校毕业证书查询系统(</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instrText xml:space="preserve"> HYPERLINK "http://www.hn12333.com:81/comm_front/query/technicalSchoolDiplomaQuery.jsp" </w:instrTex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separate"/>
      </w:r>
      <w:r>
        <w:rPr>
          <w:rStyle w:val="4"/>
          <w:rFonts w:ascii="宋体" w:hAnsi="宋体" w:eastAsia="宋体" w:cs="宋体"/>
          <w:b w:val="0"/>
          <w:i w:val="0"/>
          <w:caps w:val="0"/>
          <w:color w:val="666666"/>
          <w:spacing w:val="0"/>
          <w:sz w:val="24"/>
          <w:szCs w:val="24"/>
          <w:u w:val="none"/>
          <w:bdr w:val="none" w:color="auto" w:sz="0" w:space="0"/>
          <w:shd w:val="clear" w:fill="FFFFFF"/>
        </w:rPr>
        <w:t>http://www.hn12333.com:81/comm_front/query/technicalSchoolDiplomaQuery.jsp</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end"/>
      </w:r>
      <w:r>
        <w:rPr>
          <w:rFonts w:ascii="宋体" w:hAnsi="宋体" w:eastAsia="宋体" w:cs="宋体"/>
          <w:b w:val="0"/>
          <w:i w:val="0"/>
          <w:caps w:val="0"/>
          <w:color w:val="000000"/>
          <w:spacing w:val="0"/>
          <w:kern w:val="0"/>
          <w:sz w:val="24"/>
          <w:szCs w:val="24"/>
          <w:bdr w:val="none" w:color="auto" w:sz="0" w:space="0"/>
          <w:shd w:val="clear" w:fill="FFFFFF"/>
          <w:lang w:val="en-US" w:eastAsia="zh-CN" w:bidi="ar"/>
        </w:rPr>
        <w:t>)的查验结果页面；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②2015年以后技工院校毕业的，提供人力资源社会保障部全国毕业证书查询系统（http://</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instrText xml:space="preserve"> HYPERLINK "http://www.jxzs.mohrss.gov.cn/" </w:instrTex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separate"/>
      </w:r>
      <w:r>
        <w:rPr>
          <w:rStyle w:val="4"/>
          <w:rFonts w:ascii="宋体" w:hAnsi="宋体" w:eastAsia="宋体" w:cs="宋体"/>
          <w:b w:val="0"/>
          <w:i w:val="0"/>
          <w:caps w:val="0"/>
          <w:color w:val="666666"/>
          <w:spacing w:val="0"/>
          <w:sz w:val="24"/>
          <w:szCs w:val="24"/>
          <w:u w:val="none"/>
          <w:bdr w:val="none" w:color="auto" w:sz="0" w:space="0"/>
          <w:shd w:val="clear" w:fill="FFFFFF"/>
        </w:rPr>
        <w:t>www.jxzs.mohrss.gov.cn/</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end"/>
      </w:r>
      <w:r>
        <w:rPr>
          <w:rFonts w:ascii="宋体" w:hAnsi="宋体" w:eastAsia="宋体" w:cs="宋体"/>
          <w:b w:val="0"/>
          <w:i w:val="0"/>
          <w:caps w:val="0"/>
          <w:color w:val="000000"/>
          <w:spacing w:val="0"/>
          <w:kern w:val="0"/>
          <w:sz w:val="24"/>
          <w:szCs w:val="24"/>
          <w:bdr w:val="none" w:color="auto" w:sz="0" w:space="0"/>
          <w:shd w:val="clear" w:fill="FFFFFF"/>
          <w:lang w:val="en-US" w:eastAsia="zh-CN" w:bidi="ar"/>
        </w:rPr>
        <w:t>）查验结果页面；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③其他年度毕业的，提供省人力资源社会保障厅职业能力建设处学籍认证查验结果。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（三）有关要求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1．资格初审时，由报考人员提供身份证、学历学位证、资格证等相关材料原件。所在单位初审时，认为需留存备用备查的，可复印核对后，在复印件上签署“与原件核对一致”，原件退还报考人员。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2．资格复审时，主要对初审查验结果进行审核，重点对初审单位出具的查询认证情况进一步确认。复审时不得再要求报考人员提供原件。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3.所有材料复印件须使用A4纸并加盖单位公章，《资格考试报名表》相关栏目还需验证人签名负责，严格执行“谁审查，谁签名，谁负责”的审查管理制度。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ascii="宋体" w:hAnsi="宋体" w:eastAsia="宋体" w:cs="宋体"/>
          <w:b/>
          <w:i w:val="0"/>
          <w:caps w:val="0"/>
          <w:color w:val="000000"/>
          <w:spacing w:val="0"/>
          <w:kern w:val="0"/>
          <w:sz w:val="24"/>
          <w:szCs w:val="24"/>
          <w:bdr w:val="none" w:color="auto" w:sz="0" w:space="0"/>
          <w:shd w:val="clear" w:fill="FFFFFF"/>
          <w:lang w:val="en-US" w:eastAsia="zh-CN" w:bidi="ar"/>
        </w:rPr>
        <w:t>资格审查相关责任追究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一）报考人员等的责任追究。根据省人力资源社会保障厅《关于专业技术人员资格考试实行考后资格审查的通知》（湘人社函〔2012〕526号）精神，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令第31号和相关法律法规分别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1．如实填报相关信息但不符合条件，作符合报考条件虚假承诺参加考试的，考试成绩无效，不予发文发证，考试费用不予退还，并依有关规定严肃处理。报考人员错过重新报名参考时间的自行负责。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2．凡提交虚假材料（假身份证件、无效学历、假资历证件、假专业材料等）参加考试的，根据《专业技术人员资格考试违纪违规行为处理规定》（人社部令第31号）给予相应处理。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32"/>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4．报考人员的违法违纪行为记入公民个人诚信档案，并在全省范围内予以通报。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16"/>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sz w:val="24"/>
          <w:szCs w:val="24"/>
          <w:bdr w:val="none" w:color="auto" w:sz="0" w:space="0"/>
          <w:shd w:val="clear" w:fill="FFFFFF"/>
        </w:rPr>
        <w:t>（二）工作人员的责任追究。1.报考人员所在单位及工作人员要加强对报考人员相关信息的核对把关，协助弄虚作假的，一经发现，严肃处理。2.参加资格审查的工作人员不严格掌握报名条件或以不正当手段协助他人通过资格审查的，停止其继续参加当年及以后年度资格审查工作，并视情节轻重给予相应的行政纪律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textAlignment w:val="baseline"/>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textAlignment w:val="baseline"/>
        <w:rPr>
          <w:rFonts w:hint="eastAsia" w:ascii="宋体" w:hAnsi="宋体" w:eastAsia="宋体" w:cs="宋体"/>
          <w:b w:val="0"/>
          <w:i w:val="0"/>
          <w:caps w:val="0"/>
          <w:color w:val="000000"/>
          <w:spacing w:val="0"/>
          <w:sz w:val="18"/>
          <w:szCs w:val="18"/>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textAlignment w:val="baseline"/>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textAlignment w:val="baseline"/>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2017年度注册城乡规划师职业资格考试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textAlignment w:val="baseline"/>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科目及代码对应表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textAlignment w:val="baseline"/>
        <w:rPr>
          <w:rFonts w:hint="eastAsia" w:ascii="宋体" w:hAnsi="宋体" w:eastAsia="宋体" w:cs="宋体"/>
          <w:b w:val="0"/>
          <w:i w:val="0"/>
          <w:caps w:val="0"/>
          <w:color w:val="000000"/>
          <w:spacing w:val="0"/>
          <w:sz w:val="18"/>
          <w:szCs w:val="18"/>
        </w:rPr>
      </w:pPr>
      <w:r>
        <w:rPr>
          <w:rFonts w:ascii="宋体" w:hAnsi="宋体" w:eastAsia="宋体" w:cs="宋体"/>
          <w:b/>
          <w:i w:val="0"/>
          <w:caps w:val="0"/>
          <w:color w:val="000000"/>
          <w:spacing w:val="0"/>
          <w:kern w:val="0"/>
          <w:sz w:val="24"/>
          <w:szCs w:val="24"/>
          <w:bdr w:val="none" w:color="auto" w:sz="0" w:space="0"/>
          <w:shd w:val="clear" w:fill="FFFFFF"/>
          <w:vertAlign w:val="baseline"/>
          <w:lang w:val="en-US" w:eastAsia="zh-CN" w:bidi="ar"/>
        </w:rPr>
        <w:t> </w:t>
      </w:r>
    </w:p>
    <w:tbl>
      <w:tblPr>
        <w:tblW w:w="11187" w:type="dxa"/>
        <w:jc w:val="center"/>
        <w:tblCellSpacing w:w="0" w:type="dxa"/>
        <w:tblInd w:w="-133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66"/>
        <w:gridCol w:w="2292"/>
        <w:gridCol w:w="1850"/>
        <w:gridCol w:w="52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0" w:hRule="atLeast"/>
          <w:tblCellSpacing w:w="0" w:type="dxa"/>
          <w:jc w:val="center"/>
        </w:trPr>
        <w:tc>
          <w:tcPr>
            <w:tcW w:w="1766"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名称</w:t>
            </w:r>
          </w:p>
        </w:tc>
        <w:tc>
          <w:tcPr>
            <w:tcW w:w="2292"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级别</w:t>
            </w:r>
          </w:p>
        </w:tc>
        <w:tc>
          <w:tcPr>
            <w:tcW w:w="1850"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专业</w:t>
            </w: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632"/>
              <w:jc w:val="center"/>
            </w:pPr>
            <w:r>
              <w:rPr>
                <w:rFonts w:ascii="宋体" w:hAnsi="宋体" w:eastAsia="宋体" w:cs="宋体"/>
                <w:kern w:val="0"/>
                <w:sz w:val="24"/>
                <w:szCs w:val="24"/>
                <w:bdr w:val="none" w:color="auto" w:sz="0" w:space="0"/>
                <w:lang w:val="en-US" w:eastAsia="zh-CN" w:bidi="ar"/>
              </w:rPr>
              <w:t>科目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044.注册城乡规划师</w:t>
            </w:r>
          </w:p>
        </w:tc>
        <w:tc>
          <w:tcPr>
            <w:tcW w:w="2292"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04.考全科</w:t>
            </w:r>
          </w:p>
        </w:tc>
        <w:tc>
          <w:tcPr>
            <w:tcW w:w="1850"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01.城乡规划</w:t>
            </w: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1.城乡规划原理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85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2.城乡规划相关知识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85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3.城乡规划管理与法规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85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4.城乡规划实务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03.免一科</w:t>
            </w:r>
          </w:p>
        </w:tc>
        <w:tc>
          <w:tcPr>
            <w:tcW w:w="1850"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01.城乡规划</w:t>
            </w: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2.城乡规划相关知识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85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3.城乡规划管理与法规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85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4.城乡规划实务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02.免二科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 </w:t>
            </w:r>
          </w:p>
        </w:tc>
        <w:tc>
          <w:tcPr>
            <w:tcW w:w="1850" w:type="dxa"/>
            <w:vMerge w:val="restart"/>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pPr>
            <w:r>
              <w:rPr>
                <w:rFonts w:ascii="宋体" w:hAnsi="宋体" w:eastAsia="宋体" w:cs="宋体"/>
                <w:kern w:val="0"/>
                <w:sz w:val="24"/>
                <w:szCs w:val="24"/>
                <w:bdr w:val="none" w:color="auto" w:sz="0" w:space="0"/>
                <w:lang w:val="en-US" w:eastAsia="zh-CN" w:bidi="ar"/>
              </w:rPr>
              <w:t>01.城乡规划</w:t>
            </w: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3.城乡规划管理与法规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jc w:val="center"/>
        </w:trPr>
        <w:tc>
          <w:tcPr>
            <w:tcW w:w="1766"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2292"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1850" w:type="dxa"/>
            <w:vMerge w:val="continue"/>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rPr>
                <w:rFonts w:hint="eastAsia" w:ascii="宋体"/>
                <w:sz w:val="24"/>
                <w:szCs w:val="24"/>
              </w:rPr>
            </w:pPr>
          </w:p>
        </w:tc>
        <w:tc>
          <w:tcPr>
            <w:tcW w:w="5279" w:type="dxa"/>
            <w:tcBorders>
              <w:top w:val="single" w:color="auto" w:sz="8" w:space="0"/>
              <w:left w:val="single" w:color="auto" w:sz="8" w:space="0"/>
              <w:bottom w:val="single" w:color="auto" w:sz="8" w:space="0"/>
              <w:right w:val="single" w:color="auto" w:sz="8" w:space="0"/>
            </w:tcBorders>
            <w:shd w:val="clear"/>
            <w:tcMar>
              <w:top w:w="90" w:type="dxa"/>
              <w:left w:w="90" w:type="dxa"/>
              <w:bottom w:w="90" w:type="dxa"/>
              <w:right w:w="9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pPr>
            <w:r>
              <w:rPr>
                <w:rFonts w:ascii="宋体" w:hAnsi="宋体" w:eastAsia="宋体" w:cs="宋体"/>
                <w:kern w:val="0"/>
                <w:sz w:val="24"/>
                <w:szCs w:val="24"/>
                <w:bdr w:val="none" w:color="auto" w:sz="0" w:space="0"/>
                <w:lang w:val="en-US" w:eastAsia="zh-CN" w:bidi="ar"/>
              </w:rPr>
              <w:t>4.城乡规划实务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F3581"/>
    <w:rsid w:val="32623BE0"/>
    <w:rsid w:val="6523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2017-08-23T09:42:15Z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