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 卷 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提示：本试卷为简答题、案例分析题、论述题。请按题序在答题纸对应位置书写答案，勿在卷面上直接作答。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一、(本题20分)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一：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摘自《中共中央关于全面推进依法治国若干重大问题的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材料二：全面推进依法治国，必须坚持公正</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"http://www.wangxiao.cn/sifa/" \o "司法" \t "_blank" </w:instrText>
      </w:r>
      <w:r>
        <w:rPr>
          <w:rFonts w:hint="default" w:ascii="sans-serif" w:hAnsi="sans-serif" w:eastAsia="sans-serif" w:cs="sans-serif"/>
          <w:b w:val="0"/>
          <w:i w:val="0"/>
          <w:caps w:val="0"/>
          <w:spacing w:val="0"/>
          <w:sz w:val="21"/>
          <w:szCs w:val="21"/>
        </w:rPr>
        <w:fldChar w:fldCharType="separate"/>
      </w:r>
      <w:r>
        <w:rPr>
          <w:rStyle w:val="4"/>
          <w:rFonts w:hint="default" w:ascii="sans-serif" w:hAnsi="sans-serif" w:eastAsia="sans-serif" w:cs="sans-serif"/>
          <w:b w:val="0"/>
          <w:i w:val="0"/>
          <w:caps w:val="0"/>
          <w:spacing w:val="0"/>
          <w:sz w:val="21"/>
          <w:szCs w:val="21"/>
        </w:rPr>
        <w:t>司法</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公正司法是维护社会公平正义的最后一道防线。所谓公正司法，就是受到侵害的权利一定会得到保护和救济，违法犯罪活动一定要受到制裁和惩罚。如果人民群众通过司法程序不能保证自己的合法权利，那司法就没有公信力，人民群众也不会相信司法。法律本来应该具有定分止争的功能，司法审判本来应该具有终局性的作用，如果司法不公、人心不服，这些功能就难以实现。(摘自习近平：《在十八届中央政治局第四次集体学习时的讲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根据以上材料，结合依宪治国、依宪执政的总体要求，谈谈法律面前人人平等的原则对于推进严格司法的意义。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答题要求：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1.无观点或论述、照搬材料原文的不得分;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2.观点正确，表述完整、准确;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3.总字数不得少于400字。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二、(本题22分)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赵某与钱某原本是好友，赵某受钱某之托，为钱某保管一幅名画(价值800万元)达三年之久。某日，钱某来赵某家取画时，赵某要求钱某支付10万元保管费，钱某不同意。赵某突然起了杀意，为使名画不被钱某取回进而据为己有，用花瓶猛砸钱某的头部，钱某头部受重伤后昏倒，不省人事，赵某以为钱某已经死亡。刚好此时，赵某的朋友孙某来访。赵某向孙某说“我摊上大事了”，要求孙某和自己一起将钱某的尸体埋在野外，孙某同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人一起将钱某抬至汽车的后座，由赵某开车，孙某坐在钱某身边。开车期间，赵某不断地说“真不该一时冲动”，“悔之晚矣”。其间，孙某感觉钱某身体动了一下，仔细察看，发现钱某并没有死。但是，孙某未将此事告诉赵某。到野外后，赵某一人挖坑并将钱某埋入地下(致钱某窒息身亡)，孙某一直站在旁边没做什么，只是反复催促赵某动作快一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月后，孙某对赵某说：“你做了一件对不起朋友的事，我也做一件对不起朋友的事。你将那幅名画给我，否则向公安机关揭发你的杀人罪行。”三日后，赵某将一幅赝品(价值8000元)交给孙某。孙某误以为是真品，以600万元的价格卖给李某。李某发现自己购买了赝品，向公安机关告发孙某，导致案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1.关于赵某杀害钱某以便将名画据为己有这一事实，可能存在哪几种处理意见?各自的理由是什么?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2.关于赵某以为钱某已经死亡，为毁灭罪证而将钱某活埋导致其窒息死亡这一事实，可能存在哪几种主要处理意见?各自的理由是什么?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3.孙某对钱某的死亡构成何罪(说明理由)?是成立间接正犯还是成立帮助犯(从犯)?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4.孙某向赵某索要名画的行为构成何罪(说明理由)?关于法定刑的适用与犯罪形态的认定，可能存在哪几种观点?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5.孙某将赝品出卖给李某的行为是否构成犯罪?为什么?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三、(本题22分)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顾某(中国籍)常年居住M国，以丰厚报酬诱使徐某(另案处理)两次回国携带毒品甲基苯丙胺进行贩卖。2014年3月15日15时，徐某在B市某郊区交易时被公安人员当场抓获。侦查中徐某供出了顾某。我方公安机关组成工作组按照与该国司法协助协定赴该国侦查取证，由M国警方抓获了顾某，对其进行了讯问取证和住处搜查，并将顾某及相关证据移交中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检察院以走私、贩卖毒品罪对顾某提起公诉。鉴于被告人顾某不认罪并声称受到刑讯逼供，要求排除非法证据，一审法院召开了庭前会议，通过听取控辩双方的意见及调查证据材料，审判人员认定非法取证不成立。开庭审理后，一审法院认定被告人两次分别贩卖一包甲基苯丙胺和另一包重7.6克甲基苯丙胺判处其有期徒刑6年6个月。顾某不服提出上诉，二审法院以事实不清发回重审。原审法院重审期间，检察院对一包甲基苯丙胺重量明确为2.3克并作出了补充起诉，据此原审法院以被告人两次分别贩卖2.3克、7.6克毒品改判顾某有期徒刑7年6个月。被告人不服判决再次上诉到二审法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1.M国警方移交的证据能否作为认定被告人有罪的证据?对控辩双方提供的境外证据，法院应当如何处理?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2.本案一审法院庭前会议对非法证据的处理是否正确?为什么?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3.发回原审法院重审后，检察院对一包甲基苯丙胺重量为2.3克的补充起诉是否正确?为什么?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4.发回重审后，原审法院的改判加刑行为是否违背上诉不加刑原则?为什么?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5.此案再次上诉后，二审法院在审理程序上应如何处理?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四、(本题22分)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自然人甲与乙订立借款合同，其中约定甲将自己的一辆汽车作为担保物让与给乙。借款合同订立后，甲向乙交付了汽车并办理了车辆的登记过户手续。乙向甲提供了约定的50万元借款。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个月后，乙与丙公司签订买卖合同，将该汽车卖给对前述事实不知情的丙公司并实际交付给了丙公司，但未办理登记过户手续，丙公司仅支付了一半购车款。某天，丙公司将该汽车停放在停车场时，该车被丁盗走。丁很快就将汽车出租给不知该车来历的自然人戊，戊在使用过程中因汽车故障送到己公司修理。己公司以戊上次来修另一辆汽车时未付修理费为由扣留该汽车。汽车扣留期间，己公司的修理人员庚偷开上路，违章驾驶撞伤行人辛，辛为此花去医药费2000元。现丙公司不能清偿到期债务，法院已受理其破产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1.甲与乙关于将汽车让与给债权人乙作为债务履行担保的约定效力如何?为什么?乙对汽车享有什么权利?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2.甲主张乙将汽车出卖给丙公司的合同无效，该主张是否成立?为什么?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3.丙公司请求乙将汽车登记在自己名下是否具有法律依据?为什么?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4.丁与戊的租赁合同是否有效?为什么?丁获得的租金属于什么性质?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5.己公司是否有权扣留汽车并享有留置权?为什么?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6.如不考虑交强险责任，辛的2000元损失有权向谁请求损害赔偿?为什么?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7.丙公司与乙之间的财产诉讼管辖应如何确定?法院受理丙公司破产申请后，乙能否就其债权对丙公司另行起诉并按照民事诉讼程序申请执行?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五、(本题18分)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美森公司成立于2009年，主要经营煤炭。股东是大雅公司以及庄某、石某。章程规定公司的注册资本是1000万元，三个股东的持股比例是5︰3︰2;各股东应当在公司成立时一次性缴清全部出资。大雅公司将之前归其所有的某公司的净资产经会计师事务所评估后作价500万元用于出资，这部分资产实际交付给美森公司使用;庄某和石某以货币出资，公司成立时庄某实际支付了100万元，石某实际支付了50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大雅公司委派白某担任美森公司的董事长兼法定代表人。2010年，赵某欲入股美森公司，白某、庄某和石某一致表示同意，于是赵某以现金出资50万元，公司出具了收款收据，但未办理股东变更登记。赵某还领取了2010年和2011年的红利共10万元，也参加了公司的股东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2012年开始，公司经营逐渐陷入困境。庄某将其在美森公司中的股权转让给了其妻弟杜某。此时，赵某提出美森公司未将其登记为股东，所以自己的50万元当时是借款给美森公司的。白某称美森公司无钱可还，还告诉赵某，为维持公司的经营，公司已经向甲、乙公司分别借款60万元和40万元;向大雅公司借款500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2013年11月，大雅公司指示白某将原出资的资产中价值较大的部分逐渐转入另一子公司美阳公司。对此，杜某、石某和赵某均不知情。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此时，甲公司和乙公司起诉了美森公司，要求其返还借款及相应利息。大雅公司也主张自己曾借款500万元给美森公司，要求其偿还。赵某、杜某及石某闻讯后也认为利益受损，要求美森公司返还出资或借款。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1.应如何评价美森公司成立时三个股东的出资行为及其法律效果?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2.赵某与美森公司是什么法律关系?为什么?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3.庄某是否可将其在美森公司中的股权进行转让?为什么?这种转让的法律后果是什么?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4.大雅公司让白某将原来用作出资的资产转移给美阳公司的行为是否合法?为什么?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5.甲公司和乙公司对美森公司的债权，以及大雅公司对美森公司的债权，应否得到受偿?其受偿顺序如何?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6.赵某、杜某和石某的请求及理由是否成立?他们应当如何主张自己的权利?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六、(本题22分)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陈某转让一辆中巴车给王某但未办过户。王某为了运营，与明星汽运公司签订合同，明确挂靠该公司，王某每月向该公司交纳500元，该公司为王某代交规费、代办各种运营手续、保险等。明星汽运公司依约代王某向鸿运保险公司支付了该车的交强险费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2015年5月，王某所雇司机华某驾驶该中巴车致行人李某受伤，交警大队认定中巴车一方负全责，并出具事故认定书。但华某认为该事故认定书有问题，提出虽肇事车辆车速过快，但李某横穿马路没有走人行横道，对事故发生也负有责任。因赔偿问题协商无果，李某将王某和其他相关利害关系人诉至F省N市J县法院，要求王某、相关利害关系人向其赔付治疗费、误工费、交通费、护理费等费用。被告王某委托N市甲律师事务所刘律师担任诉讼代理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件审理中，王某提出其与明星汽运公司存在挂靠关系、明星汽运公司代王某向保险公司交纳了该车的交强险费用、交通事故发生时李某横穿马路没走人行横道等事实;李某陈述了自己受伤、治疗、误工、请他人护理等事实。诉讼中，各利害关系人对上述事实看法不一。李某为支持自己的主张，向法院提交了因误工被扣误工费、为就医而支付交通费、请他人护理而支付护理费的书面证据。但李某声称治疗的相关诊断书、处方、药费和治疗费的发票等不慎丢失，其向医院收集这些证据遭拒绝。李某向法院提出书面申请，请求法院调查收集该证据，J县法院拒绝。</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在诉讼中，李某向J县法院主张自己共花治疗费36650元，误工费、交通费、护理费共计12000元。被告方仅认可治疗费用15000元。J县法院对案件作出判决，在治疗费方面支持了15000元。双方当事人都未上诉。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审判决生效一个月后，李某聘请N市甲律师事务所张律师收集证据、代理本案的再审，并商定实行风险代理收费，约定按协议标的额的35%收取律师费。经律师说服，医院就李某治伤的相关诊断书、处方、药费和治疗费的支付情况出具了证明，李某据此向法院申请再审，法院受理了李某的再审申请并裁定再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再审中，李某提出增加赔付精神损失费的诉讼请求，并要求张律师一定坚持该意见，律师将其写入诉状。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1.本案的被告是谁?简要说明理由。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2.就本案相关事实，由谁承担证明责任?简要说明理由。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3.交警大队出具的事故认定书，是否当然就具有证明力?简要说明理由。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4.李某可以向哪个(些)法院申请再审?其申请再审所依据的理由应当是什么?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5.再审法院应当按照什么程序对案件进行再审?再审法院对李某增加的再审请求，应当如何处理?简要说明理由。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6.根据律师执业规范，评价甲律师事务所及律师的执业行为，并简要说明理由。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七、(本题24分)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材料一(案情)：孙某与村委会达成在该村采砂的协议，期限为5年。孙某向甲市乙县国土资源局申请采矿许可，该局向孙某发放采矿许可证，载明采矿的有效期为2年，至2015年10月20日止。</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2015年10月15日，乙县国土资源局通知孙某，根据甲市国土资源局日前发布的《严禁在自然保护区采砂的规定》，采矿许可证到期后不再延续，被许可人应立即停止采砂行为，撤回采砂设施和设备。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孙某以与村委会协议未到期、投资未收回为由继续开采，并于2015年10月28日向乙县国土资源局申请延续采矿许可证的有效期。该局通知其许可证已失效，无法续期。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2015年11月20日，乙县国土资源局接到举报，得知孙某仍在采砂，以孙某未经批准非法采砂，违反《矿产资源法》为由，发出《责令停止违法行为通知书》，要求其停止违法行为。孙某向法院起诉请求撤销通知书，一并请求对《严禁在自然保护区采砂的规定》进行审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孙某为了解《严禁在自然保护区采砂的规定》内容，向甲市国土资源局提出政府信息公开申请。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二：涉及公民、法人或其他组织权利和义务的规范性文件，按照政府信息公开要求和程序予以公布。推行行政执法公示制度。推进政务公开信息化，加强互联网政务信息数据服务平台和便民服务平台建设。(摘自《中共中央关于全面推进依法治国若干重大问题的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(一)结合材料一回答以下问题：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1.《行政许可法》对被许可人申请延续行政许可有效期有何要求?行政许可机关接到申请后应如何处理?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2.孙某一并审查的请求是否符合要求?根据有关规定，原告在行政诉讼中提出一并请求审查行政规范性文件的具体要求是什么?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3.行政诉讼中，如法院经审查认为规范性文件不合法，应如何处理?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4.对《责令停止违法行为通知书》的性质作出判断，并简要比较行政处罚与行政强制措施的不同点。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(二)结合材料一和材料二作答(要求观点明确，逻辑清晰、说理充分、文字通畅;总字数不得少于500字)：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谈谈政府信息公开的意义和作用，以及处理公开与不公开关系的看法。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1029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