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2017咨询工程师考试押题：《工程项目组织与管理》押题卷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1.BIM可以在招投标和施工阶段可以进行4D模拟(三维模型加项目的进度),也就是根据施工的组织设计模拟实际施工,从而来确定合理的施工方案来指导施工.这表明BIM具有( )的特点.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A.可视化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B.协调性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C.模拟性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D.优化性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2.采用杠杆租赁融资模式,出租人只需要投资购置出租标的所需款项的( )%,即可以拥有设备所有权,享受如同设备100%投资的同等待遇.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A.10～20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B.20～30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C.20～40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D.30～50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3.按《国务院关于投资体制改革的决定》的规定,核准目录之外的企业投资建设项目,除国家法律法规和国务院专门规定禁止投资的项目外,实行( )管理程序.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A.审批制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B.核准制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C.备案制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D.评估制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4.制造厂、炼油厂、深海石油钻井平台以及其他高新技术项目适合采用( )的工程项目发包交付模式.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A.传统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B.代建制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C.设计/建造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D.CM</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5.规定活动是项目( )管理领域中的一项管理任务.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A.集成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B.范围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6.某项目原始预算为147500元,计划工期为94天.项目进行了70个天后的项目状况报告提供了如下信息: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BCWP=56830元, ACWP=65080元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BCWS=102800元,BAC=147500元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按此时的结果,预计项目完成时的总费用超支( )元.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A.1943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B.16322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C.16344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D.21798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7.国家发展改革委安排投资补助和贴息项目,应当首先制定( ),明确投资补助和贴息的目的、预定目标、实施时间、支持范围、资金安排方式、工作程序、时限要求等主要内容.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A.投资补助和贴息计划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B.年度投资计划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C.工作方案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D.资金申请报告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8.政府投资项目,采用直接投资和资本金注入方式的,政府投资主管部门从投资决策角度只审批(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A.可行性研究报告和开工报告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C.项目建议书和可行性研究报告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D.资金申请报告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9.工程项目的单项工程验收由( )组织.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A.业主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B.监理单位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C.设计单位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D.施工单位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10.BIM可以在建筑物建造前期对各专业的碰撞问题进行协调,生成协调数据,提供出来,这表明BIM具有( )的特点.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A.可视化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B.协调性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C.模拟性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D.优化性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11.监测和控制项目工作是项目( )管理领域中的一项管理任务.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A.集成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B.范围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12.项目中某个活动的乐观时间(a),最可能时间(c)和悲观时间(b)分别是15天、17天、20天,则此活动的期望时间是( )天.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B.17.2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C.17.3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13.单项工程验收过程中进行的试车调试是( )试车调试.单机无负荷试车调试、联动无负荷试车调试,以及之后进行的联动有负荷试车调试.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A.单机无负荷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B.单机无负荷和联动无负荷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C.单机无负荷和有负荷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D.单机无负荷、联动无负荷,以及联动有负荷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14.下列文件中,属于监测和控制项目工作结果的是(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A.绩效报告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B.需求文件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C.变更请求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D.交付成果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15.《土地管理法》第四十五条规定征用基本农田以外的耕地超过( )公顷土地的,需报国务院批准.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C.35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D.70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16.按《国务院关于投资体制改革的决定》的规定,企业投资建设的重大和限制类项目,实行( )管理程序.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A.审批制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B.核准制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C.备案制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D.评估制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17.联动无负荷试车调试由( )组织.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A.业主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B.监理单位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C.设计单位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D.施工单位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18.建设-运营-移交(Build-Operate-Transfer,BOT)的合同期限一般为( )年.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A.5-10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C.15-25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D.20-30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19.政府投资项目,采用投资补助、转贷和贷款贴息方式的,政府投资主管部门从投资决策角度只审批(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A.可行性研究报告和开工报告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C.项目建议书和可行性研究报告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D.资金申请报告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工程网络计划中,如果紧后工作的开始并不以紧前工作的完成为前提,只要紧前工作开始一段时间以后,紧前工作虽然尚未完成但已经提供了紧后工作开始工作的条件,紧后工作就可以在这种条件下与紧前工作平行进行.能够很好地表达这种逻辑关系的网络图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A.双代号网络图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B.单代号网络图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C.双代号时标网络图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D.单代号搭接网络图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1、工程项目中的HSE管理的核心目标是(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A.保证业主和各相关方的利益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B.实现项目管理的三大目标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C.将HSE理念完全贯彻到整个工程项目的决策和实施全过程中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D.保证项目实施的顺利进行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2、定性风险分析的方法不包括(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A.风险数据质量评价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B.风险紧迫性评价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C.灵敏度分析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D.风险概率和影响评价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3、工程项目费用偏差分析方法中,最常用的并且提供的信息量相对较大的是(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A.横道图法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B.偏差曲线法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C.费用曲线法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D.表格法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答案解析:本题考查偏差分析的表达方法.表格法是进行偏差分析最常用的一种方法,他反映的信息量大.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4、在建筑工程施工发包与承包计价中,工料单价法中以人工费为计算基础计价的时候,利润的计算基数为(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A.直接费+间接费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B.直接工程费+间接费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C.人工费+机械费+间接费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D.直接工程费中的人工费+措施费中的人工费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答案解析:本题考查以人工费为基础的工料单价法的计价程序.注意以人工费为基础时,利润的计算基数是不包括间接费的部分的,以人工费和机械费为计算基数的时候,也不包括间接费的部分.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5、不影响总工期的前提下,本工作可以利用的机动时间是工作的(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A.总时差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B.工作最早完成时间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C.自由时差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D.工作最迟完成时间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6设备供货商作为工程项目的利益关系者,其对项目的要求和期望是(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A.项目质量好、见效快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B.优良的工作环境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C.及时提供施工图纸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D.最低限度地使用非标准件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7.参与工程项目管理的各方面都有各自的期望,其中咨询部门的主要期望是(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A.合理的报酬与松弛的工作进度表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B.工程项目能有很高的利润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C.合理的报酬与严格的工作进度表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D.项目产出品或提供的服务质量优良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8.下列关于工程项目目标管理的表述中,错误的是(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A.目标可以接受评估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B.目标可以用数量表示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C.目标可以授权别人完成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D.目标的设定是无风险的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9.工程项目目标系统表现为一个( )结构.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A.开放的并列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B.递阶层次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C.多目标的平行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D.完整的封闭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10.下列关于工程项目目标的说法中,正确的是(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A.目标应是长远和抽象的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B.目标不应有时间限制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C.目标只能由最高决策者掌握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D.目标是现实的,是可达到的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11、扩大管理幅度对组织的影响不包括(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A.可以减少协调方面所付出的时间和费用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B.管理层次增加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C.缩短信息传递渠道与层次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D.提高工作效率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组织结构.扩大管理幅度对组织的影响主要有:可以减少管理的层次,缩减组织机构和管理人员,减少协调方面所付出的时间和费用;缩短信息传递渠道与层次,提高工作效率;但管理幅度过大可能使主管人员对下属的指导和监督的时间相对减少,容易导致管理失控,出现各自为政的状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12、下列关于强矩阵式组织结构的表述中,正确的是(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A.没有专职的项目经理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B.有一名专职的协调员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C.有一名专职的项目经理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D.有一名专职的项目经理和一名专职协调员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答案解析:本题考查矩阵式组织结构.强矩阵式组织结构模式的主要特点是,有一个专职的项目经理负责项目的管理与运行工作.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13、项目工作开展的基础,同样也是确定组织结构形式与机构的重要基础是(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A.确定一个合理的项目目标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B.确定项目工作内容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C.确定组织目标和组织工作内容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D.工作岗位与工作职责确定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工程项目管理组织的建立步骤.对项目的完成者来说,同委托方进行讨论,明确主要矛盾,确定一个合理、科学的项目目标至关重要,这是项目工作开展的基础,同样也是确定组织结构形式与机构的重要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14、项目的组织计划是为了( ),项目有关人员的职位设置构架.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A.保证工程项目的良好开展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B.降低项目成本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C.进行工作分析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D.确保项目工期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答案解析:本题考查的是项目组织计划.项目组织计划是指为保证工程项目的良好开展,项目有关人员的职位设置构架.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15、以下不属于项目雇员考核内容的是(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A.工作效率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B.工作纪律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C.工作质量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D.工作态度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答案解析:本题考查的是考核的作用.对项目团队成员考核的内容主要有工作效率、工作纪律、工作质量、工作成本四个方面的内容.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16、在项目技术的选择及专业人员的安排使用上有一定的影响力的是(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B.部门经理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C.执行经理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D.公司总经理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答案解析:本题考查的是项目经理的位置.在项目技术的选择及专业人员的安排使用上有一定的影响力的是部门经理.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17、明确工作包内各工作之间的相互逻辑关系时根据需要可绘制(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B.S曲线图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C.香蕉图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D.工作分解结构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答案解析:明确工作包内各工作之间的相互逻辑关系.将上述分解过程按形成的逻辑关系进行重新整理与审核,使之确定下来.根据需要可绘制项目网络图.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18、必须进行招标的工程建设项目的具体范围和规模标准,由( )制订.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A.国务院发展计划部门会同国务院有关部门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B.国家发展改革委员会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C.国家建设部会同国务院有关部门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D.国家人民代表大会常委委员会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答案解析:《招投标法》第三条所列项目的具体范围和规模标准,由国务院发展计划部门会同国务院有关部门制订,报国务院批准.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19、公开招标的第一个环节是(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A.审查投标人资格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B.邀请投标人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C.发布招标公告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D.招标文件发放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20、某招标项目共有22家投标申请人通过了资格预审,按有关规定,招标人可从中选择不少于( )家资格预审合格的投标申请人.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答案解析:资格预审合格的投标申请人过多时,招标人可以从中选择不少于7家资格预审合格的投标申请人参加投标.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1、工程项目的特性包括(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A.惟一性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B.固定性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C.可逆转性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D.确定性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E.整体性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答案:ABE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2、在工程项目建设周期中,通常工作量不大,但却最重要的是(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A.准备阶段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B.策划与决策阶段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C.实施阶段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D.竣工验收与评价阶段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3、编制资源计划的基本依据是(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A.范围说明书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B.进度计划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C.WBS</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D.资源储备说明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资源计划编制的依据包括WBS、范围说明书、进度计划、资源储备说明和组织方针.其基本依据为WBS.WBS定义了项目的工作范围,将项目工作分解为容易管理和控制的工作包.编制资源计划就是要确定项目需要哪些资源,其要考虑的基本依据就是WBS.</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4、简单明了,便于检查和计算资源需求情况,但不能全面反映各项工作之间的逻辑关系和整个工程的主次工作,难以对计划作出准确的评价的进度计划表示方法是(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A.横道图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B.时标网络图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C.里程碑图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D.进度曲线法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进度计划的表示方法包括横道图、时标网络图、里程碑图和进度曲线.横道图是一种传统的进度计划表示方法,简单明了,便于检查和计算资源需求情况,但不能全面反映各项工作之间的逻辑关系和整个工程的主次工作,难以对计划作出准确的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5、利用香蕉曲线图不能实现的是(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A.分析进度产生偏差的原因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B.合理安排进度计划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C.比较实际进度与计划进度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D.预测后续工程进度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解析:利用香蕉曲线可以进行:进度计划的合理安排;实际进度与计划进度的比较;对后续工程进度进行预测.利用香蕉曲线可进行的工作可以和利用S形曲线可以获得的信息进行比较记忆.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6、下列关于质量保修和竣工决算的说法中,不正确的是(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A.工程竣工验收报告经发包人认可后28天内,承包人向发包人递交竣工决算报告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B.发包人收到竣工结算报告和资料后28天内进行核实</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C.承包人收到竣工结算价款后14天内将竣工工程交付给发包人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D.发包人应当在质量保证期满后28天内,将剩余保修金和利息返还给承包人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工程竣工验收报告经发包人认可后28天内,承包人向发包人递交竣工决算报告,发包人收到竣工结算报告和资料后28天内进行核实,确认后支付工程竣工结算价款,承包人收到竣工结算价款后14天内将竣工工程交付给发包人.发包人应当在质量保证期满后14天内,将剩余保修金和利息返还给承包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7、定额按内容分类不包括(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A.人工消耗定额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B.材料消耗定额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C.机械台班消耗定额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D.各部定额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解析:定额按粗细程度分为概算定额、预算定额和施工定额;按使用范围可分为基础定额、各部定额和企业内部定额;按内容可分为人工消耗定额、材料消牦定额和机械台班消耗定额.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8、工作定义的基本依据是(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A.项目范围说明书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B.历史资料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C.范围管理计划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D.WBS</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工作定义的依据包括WBS、项目范围说明书、历史资料,其基本依据是WBS.工作定义就是定义为了交付WBS中定义的项目可交付成果而必须完成的工作,因此其基本依据就是WBS.范围管理计划是对如何管理范围变更的说明,是范围计划过程的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9、工具用具使用费属于(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A.直接费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B.措施费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C.其他费用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D.企业管理费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解析:间接费包括规费和企业管理费.工具用具使用费属于企业管理费.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10、不列不属于质量计划内容的是(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A.明确各层次的质量目标和质量管理职能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B.明确各层次之间的配合和接口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C.确定和提供制定质量计划所需的资源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D.明确记录和收集、报告数据的标准表格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质量计划的内容包括:明确各层次的质量目标和质量管理职能;明确各层次之间的配合和接口;明确实现质量目标的过程程序;确定和提供实现质量目标必需的资源;明确记录和收集、报告数据的标准表格.本题的C项有很强的干扰性,制定质量计划需要资源(人力、物力等),但这个资源和实现质量目标所需要的资源不能等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11.下列项目中,符合工程项目定义,可以称为工程项目的是(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A.发电机设计项目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B.扩建学校食堂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C.软件开发项目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D.帮助贫困母亲工程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PERT和CPM的最根本区别是(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A.CPM的工作逻辑关系肯定,PERT的工作逻辑关系不确定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B.CPM使用最大可能工作时间估计,PERT使用加权平均时间估计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C.CPM的工作必须进行,PERT的某些工作可以不进行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D.CPM不允许存在回路,PERT中可以存在回路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CPM与PERT、GERT是进度计划制定的基本方法.CPM与PERT的基本指导思想大同小异,网络的建立过程也基本一致,其根本区别就是CPM使用最大可能工作时间估计,PERT使用加权平均时间估计.对于项目管理各种方法的英文名称也要给予注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13.在任何情况下工程项目的建设周期都是有限的,这是工程项目的( )特征.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A.唯一性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B.一次性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C.整体性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D.不可逆转性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14.某大厦建成后存在严重质量问题,不得不爆破拆除,说明工程项目具有( )的特征.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A.一次性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B.唯一性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C.不确定性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D.不可逆转性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15.工程项目的特性不包括(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A.惟一性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B.固定性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C.整体性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D.流动性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16.在每个工程项目的建设中,会因为建设条件的不同而涉及某些以前没有做过的事情.这反映出工程项目具有( )特征.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A.整体性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B.固定性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C.一次性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D.唯一性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17.采用单价法和实物法编制施工图预算的主要区别是(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A.计算工程量的方法不同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B.计算直接工程费的方法不同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C.计算利税的方法不同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D.计算其他直接费、间接费的方法不同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解析:施工图预算的编制方法包括单价法和实物法,两者的编制步骤基本相似,但在具体计算人工费、材料费和机械使用费及汇总三种费用之和方面有一定区别.即计算直接工程费的方法不同.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18.工程项目管理难度最大的阶段是工程项目的(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A.实施阶段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B.策划阶段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C.竣工验收阶段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D.准备阶段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19.工程项目设计应在项目( )阶段完成.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B.准备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C.实施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D.验收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20.在建设周期内,大多数工程项目的人力和费用投入特点是(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A.开始快,后来慢,接近结束时又快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B.开始慢,后来快,接近结束时迅速减缓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C.开始快,后来慢,接近结束时更慢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D.开始慢,后来快,接近结束时迅速加快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85F309F"/>
    <w:rsid w:val="1EA1595C"/>
    <w:rsid w:val="20FC7D3A"/>
    <w:rsid w:val="32AD1A3A"/>
    <w:rsid w:val="40155B3F"/>
    <w:rsid w:val="46DF64E2"/>
    <w:rsid w:val="46E96DF2"/>
    <w:rsid w:val="526D03D8"/>
    <w:rsid w:val="5AF818D5"/>
    <w:rsid w:val="685A6050"/>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